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C3 ("impact on cancer progression" → "impact on cell/tissue homeostasis"), and C6 ("clinical relevance" → "pathophysiological relevance"). The overall score follows the deterministic weighted formula S = 0.25·RS1 + 0.25·RS2 + 0.20·RS3 + 0.15·RS4 + 0.10·RS5 + 0.05·RS6,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MC1-MC5 criteria (G1 ~ MC1 machinery; G2 ~ MC5 modulation; G3 ~ MC2/MC3 trigger and morphology; G4 ~ MC4 naming). Entities passing G1 and G2 were classified hard_gate_status = L1-ELIGIBLE (19/53); the remainder were NOT-L1 (subtypes, triggers, umbrellas, morphology, contextual, and taxon-specific programs). The multi-optosis RS1-RS6 scoring remains an orthogonal ranking metric, not an admission gate. Independent replication (G5)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G0–G6 hard-gate criteria for classification as bona fide RCD modalities. The 53 entities are organized into: 19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