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C3 ("impact on cancer progression" → "impact on cell/tissue homeostasis"), and C6 ("clinical relevance" → "pathophysiological relevance"). The overall score follows the deterministic weighted formula S = 0.25·RS1 + 0.25·RS2 + 0.20·RS3 + 0.15·RS4 + 0.10·RS5 + 0.05·RS6,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MC1-MC5 criteria (G1 ~ MC1 machinery; G2 ~ MC5 modulation; G3 ~ MC2/MC3 trigger and morphology; G4 ~ MC4 naming). Entities passing G1 and G2 were classified hard_gate_status = L1-ELIGIBLE (19/53); the remainder were NOT-L1 (subtypes, triggers, umbrellas, morphology, contextual, and taxon-specific programs). The multi-optosis RS1-RS6 scoring remains an orthogonal ranking metric, not an admission gate. Independent replication (G5)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(0.25·RS1 + 0.25·RS2 + 0.20·RS3 + 0.15·RS4 + 0.10·RS5 + 0.05·RS6)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7–10, CT2 = 4–6, CT3 = 2–3, CT4 = 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G0–G6 hard-gate criteria for classification as bona fide RCD modalities. The 53 entities are organized into: 19 RCD modalities (bona fide cell death mechanisms with distinct molecular machinery, admitted through the G0-G6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(64.7%) while the Functional/contextual categories (L4) are the most dilute (23.9%), with the Generic/umbrella/taxon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