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1"/>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Regulated cell death (RCD) governs tissue homeostasis, development, and disease pathogenesis through </w:t>
      </w:r>
      <w:r w:rsidRPr="0022059B">
        <w:rPr>
          <w:rFonts w:asciiTheme="majorHAnsi" w:hAnsiTheme="majorHAnsi" w:cstheme="majorHAnsi"/>
          <w:szCs w:val="24"/>
        </w:rPr>
        <w:t>genetically encoded entities that eliminate</w:t>
      </w:r>
      <w:r w:rsidRPr="009B500E">
        <w:rPr>
          <w:rFonts w:asciiTheme="majorHAnsi" w:hAnsiTheme="majorHAnsi" w:cstheme="majorHAnsi"/>
          <w:szCs w:val="24"/>
        </w:rPr>
        <w:t xml:space="preserve"> superfluous, damaged, or dangerous cells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Building on this framework, our group compiled gene-level associations for 25 forms and provided tentative operational definitions for forms not covered in the </w:t>
      </w:r>
      <w:r w:rsidRPr="0022059B">
        <w:rPr>
          <w:rFonts w:asciiTheme="majorHAnsi" w:hAnsiTheme="majorHAnsi" w:cstheme="majorHAnsi"/>
          <w:szCs w:val="24"/>
        </w:rPr>
        <w:t xml:space="preserve">NCCD consensus </w:t>
      </w:r>
      <w:r w:rsidRPr="0022059B">
        <w:rPr>
          <w:rFonts w:asciiTheme="majorHAnsi" w:hAnsiTheme="majorHAnsi" w:cstheme="majorHAnsi"/>
          <w:szCs w:val="24"/>
          <w:highlight w:val="yellow"/>
        </w:rPr>
        <w:t>{Rodrigues de Souza, 2025 #782030;Rodrigues de Souza, 2026 #784804</w:t>
      </w:r>
      <w:r w:rsidRPr="0022059B">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w:t>
      </w:r>
      <w:r w:rsidR="0022059B">
        <w:rPr>
          <w:rFonts w:asciiTheme="majorHAnsi" w:hAnsiTheme="majorHAnsi" w:cstheme="majorHAnsi"/>
          <w:szCs w:val="24"/>
        </w:rPr>
        <w:t>gene-RCD</w:t>
      </w:r>
      <w:r w:rsidRPr="0022059B">
        <w:rPr>
          <w:rFonts w:asciiTheme="majorHAnsi" w:hAnsiTheme="majorHAnsi" w:cstheme="majorHAnsi"/>
          <w:szCs w:val="24"/>
        </w:rPr>
        <w:t xml:space="preserve">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 xml:space="preserve">Specialized databases such as FerrDB v3 (22 RCD forms, 3,481 genes </w:t>
      </w:r>
      <w:r w:rsidR="00980C69" w:rsidRPr="009B500E">
        <w:rPr>
          <w:rFonts w:asciiTheme="majorHAnsi" w:hAnsiTheme="majorHAnsi" w:cstheme="majorHAnsi"/>
          <w:szCs w:val="24"/>
          <w:highlight w:val="yellow"/>
        </w:rPr>
        <w:t>{Zhou, 2026 #782033}</w:t>
      </w:r>
      <w:r w:rsidR="00980C69" w:rsidRPr="009B500E">
        <w:rPr>
          <w:rFonts w:asciiTheme="majorHAnsi" w:hAnsiTheme="majorHAnsi" w:cstheme="majorHAnsi"/>
          <w:szCs w:val="24"/>
        </w:rPr>
        <w:t xml:space="preserve"> </w:t>
      </w:r>
      <w:r w:rsidRPr="009B500E">
        <w:rPr>
          <w:rFonts w:asciiTheme="majorHAnsi" w:hAnsiTheme="majorHAnsi" w:cstheme="majorHAnsi"/>
          <w:szCs w:val="24"/>
        </w:rPr>
        <w:t>and RCDdb</w:t>
      </w:r>
      <w:r w:rsidR="000F5DEE" w:rsidRPr="009B500E">
        <w:rPr>
          <w:rFonts w:asciiTheme="majorHAnsi" w:hAnsiTheme="majorHAnsi" w:cstheme="majorHAnsi"/>
          <w:szCs w:val="24"/>
        </w:rPr>
        <w:t xml:space="preserve"> </w:t>
      </w:r>
      <w:r w:rsidR="000F5DEE" w:rsidRPr="009B500E">
        <w:rPr>
          <w:rFonts w:asciiTheme="majorHAnsi" w:hAnsiTheme="majorHAnsi" w:cstheme="majorHAnsi"/>
          <w:szCs w:val="24"/>
          <w:highlight w:val="yellow"/>
        </w:rPr>
        <w:t>{Wang, 2024 #782694}</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together with our prior compilation (25 RCD forms, 5,913 genes) </w:t>
      </w:r>
      <w:r w:rsidR="00187DB0" w:rsidRPr="009B500E">
        <w:rPr>
          <w:rFonts w:asciiTheme="majorHAnsi" w:hAnsiTheme="majorHAnsi" w:cstheme="majorHAnsi"/>
          <w:szCs w:val="24"/>
          <w:highlight w:val="yellow"/>
        </w:rPr>
        <w:t>{Rodrigues de Souza, 2025 #782030}</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represent major advances in RCD knowledge organization. FerrDB v3 is primarily a catalog of RCD regulators and markers </w:t>
      </w:r>
      <w:r w:rsidR="005E4420">
        <w:rPr>
          <w:rFonts w:asciiTheme="majorHAnsi" w:hAnsiTheme="majorHAnsi" w:cstheme="majorHAnsi"/>
          <w:szCs w:val="24"/>
        </w:rPr>
        <w:t xml:space="preserve">extracted from </w:t>
      </w:r>
      <w:r w:rsidR="005E4420" w:rsidRPr="009B500E">
        <w:rPr>
          <w:rFonts w:asciiTheme="majorHAnsi" w:hAnsiTheme="majorHAnsi" w:cstheme="majorHAnsi"/>
          <w:szCs w:val="24"/>
        </w:rPr>
        <w:t>&gt;20,000 publications</w:t>
      </w:r>
      <w:r w:rsidRPr="009B500E">
        <w:rPr>
          <w:rFonts w:asciiTheme="majorHAnsi" w:hAnsiTheme="majorHAnsi" w:cstheme="majorHAnsi"/>
          <w:szCs w:val="24"/>
        </w:rPr>
        <w:t xml:space="preserve">,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w:t>
      </w:r>
      <w:r w:rsidR="005E4420">
        <w:rPr>
          <w:rFonts w:asciiTheme="majorHAnsi" w:hAnsiTheme="majorHAnsi" w:cstheme="majorHAnsi"/>
          <w:szCs w:val="24"/>
        </w:rPr>
        <w:t xml:space="preserve">those </w:t>
      </w:r>
      <w:r w:rsidRPr="009B500E">
        <w:rPr>
          <w:rFonts w:asciiTheme="majorHAnsi" w:hAnsiTheme="majorHAnsi" w:cstheme="majorHAnsi"/>
          <w:szCs w:val="24"/>
        </w:rPr>
        <w:t>well-curated databases lack per-gene literature traceability, making it impossible to verify the provenance of individual associations. These gaps motivate the development of the platform we describe below.</w:t>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initial RCD form vocabulary is based on our prior work establishing operational definitions for 25 RCD forms based on the Nomenclature Committee on Cell Death (NCCD) 2018 consensus (</w:t>
      </w:r>
      <w:r w:rsidRPr="00E4335B">
        <w:rPr>
          <w:rFonts w:asciiTheme="majorHAnsi" w:hAnsiTheme="majorHAnsi" w:cstheme="majorHAnsi"/>
          <w:szCs w:val="24"/>
          <w:highlight w:val="magenta"/>
        </w:rPr>
        <w:t>Galluzzi et al., 2018,PMID:29362479</w:t>
      </w:r>
      <w:r w:rsidRPr="009B500E">
        <w:rPr>
          <w:rFonts w:asciiTheme="majorHAnsi" w:hAnsiTheme="majorHAnsi" w:cstheme="majorHAnsi"/>
          <w:szCs w:val="24"/>
        </w:rPr>
        <w:t>) and extended through AI-curated definitions {Rodrigues de Souza, 2025 #782030;Rodrigues de Souza, 2026 #784804}.These 25 forms comprised</w:t>
      </w:r>
      <w:r w:rsidRPr="00E4335B">
        <w:rPr>
          <w:rFonts w:asciiTheme="majorHAnsi" w:hAnsiTheme="majorHAnsi" w:cstheme="majorHAnsi"/>
          <w:color w:val="EE0000"/>
          <w:szCs w:val="24"/>
        </w:rPr>
        <w:t xml:space="preserve"> </w:t>
      </w:r>
      <w:r w:rsidRPr="00E4335B">
        <w:rPr>
          <w:rFonts w:asciiTheme="majorHAnsi" w:hAnsiTheme="majorHAnsi" w:cstheme="majorHAnsi"/>
          <w:color w:val="EE0000"/>
          <w:szCs w:val="24"/>
          <w:highlight w:val="cyan"/>
        </w:rPr>
        <w:t>20 executioner entities, 2 trigger events, and 3 functional</w:t>
      </w:r>
      <w:r w:rsidRPr="00E4335B">
        <w:rPr>
          <w:rFonts w:asciiTheme="majorHAnsi" w:hAnsiTheme="majorHAnsi" w:cstheme="majorHAnsi"/>
          <w:color w:val="EE0000"/>
          <w:szCs w:val="24"/>
        </w:rPr>
        <w:t xml:space="preserve"> </w:t>
      </w:r>
      <w:r w:rsidRPr="009B500E">
        <w:rPr>
          <w:rFonts w:asciiTheme="majorHAnsi" w:hAnsiTheme="majorHAnsi" w:cstheme="majorHAnsi"/>
          <w:szCs w:val="24"/>
        </w:rPr>
        <w:t xml:space="preserve">categories </w:t>
      </w:r>
      <w:r w:rsidRPr="009B500E">
        <w:rPr>
          <w:rFonts w:asciiTheme="majorHAnsi" w:hAnsiTheme="majorHAnsi" w:cstheme="majorHAnsi"/>
          <w:szCs w:val="24"/>
          <w:highlight w:val="yellow"/>
        </w:rPr>
        <w:t>(Supplementary Table S1).</w:t>
      </w:r>
      <w:r w:rsidR="009B500E" w:rsidRPr="009B500E">
        <w:rPr>
          <w:rFonts w:asciiTheme="majorHAnsi" w:hAnsiTheme="majorHAnsi" w:cstheme="majorHAnsi"/>
          <w:szCs w:val="24"/>
        </w:rPr>
        <w:t xml:space="preserve"> </w:t>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(C1) possession of distinct molecular machinery not fully subsumed by another form; (C2) an identifiable biochemical or biophysical trigger; (C3) a characteristic and reproducible morphological phenotype; (C4) explicit naming in at least one peer-reviewed publication; and (C5)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G0-G6 (whole-cell death, causal machinery, functional necessity/distinguishability, supportive phenotype, naming/provenance, replication/maturity, and species scope), which operationalize C1-C5 with G1 (machinery) and G2 (necessity) obligatory. The resulting five-level ontology is encoded in the unified matrix as two columns (rcdome_level and rcdome_level_name), preserving the external multi-optosis classification (rodr_category) untouched (Supplementary Table S3; Supplementary Table S4). The adjudication framework and its governance are documented in Supplementary Note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C1–C5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r>
        <w:t>Human review granularity. 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 the operational definition (prose), key molecules, inflammatory status, description of overlaps, category, and year of discovery; (ii) quantified ranking — the six criteria C1–C6 and the overall score S; and (iii) provenance —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 C1 extent of research (25%), C2 direct involvement (25%), C3 impact on cell/tissue homeostasis (20%), C4 emerging potential (15%), C5 biological significance (10%), and C6 pathophysiological relevance (5%) — each scored 1–10. Three criteria were reinterpreted from the cancer-oriented Rodrigues usage to the cell-biology scope of the RCDome: C2 ("direct involvement in cancer therapy" → "direct involvement"), C3 ("impact on cancer progression" → "impact on cell/tissue homeostasis"), and C6 ("clinical relevance" → "pathophysiological relevance"). The overall score follows the deterministic weighted formula S = 0.25·C1 + 0.25·C2 + 0.20·C3 + 0.15·C4 + 0.10·C5 + 0.05·C6, which reproduces all 25 the multi-optosis anchors exactly. The C1–C6 values are expert judgments, not computable from gene counts (necrosis, 1,092 genes, is scored C1 = 4 whereas cuproptosis, 77 genes, is scored C1 = 7), demonstrating that the criteria are semantic. Consequently, for the entities without a committee definition the C1–C6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G0-G6: G0 whole-cell death (irreversible), G1 identifiable causal machinery (obligatory), G2 functional necessity/distinguishability (obligatory), G3 supportive phenotype/trigger, G4 published name (necessary for traceability, not sufficient for mechanism), G5 independent replication (defines maturity), and G6 species scope. These gates operationalize the NCCD C1-C5 criteria (G1 ~ C1 machinery; G2 ~ C5 modulation; G3 ~ C2/C3 trigger and morphology; G4 ~ C4 naming). Entities passing G1 and G2 were classified hard_gate_status = L1-ELIGIBLE (16/53); the remainder were NOT-L1 (subtypes, triggers, umbrellas, morphology, contextual, and taxon-specific programs). The multi-optosis C1-C6 scoring remains an orthogonal ranking metric, not an admission gate. Independent replication (G5) remains pending for all 53 entities, recorded as 'pending' until curated (allowed values: none, limited, multiple).</w:t>
      </w:r>
    </w:p>
    <w:p>
      <w:r>
        <w:t>Relationship to the NCCD “canonical” ontology. The 19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 cuproptosis, disulfidptosis, methuosis, oxeiptosis, paraptosis, alkaliptosis, NECSO, mitoxyperilysis, and triaptosis —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(G1) and functional necessity/distinguishability (G2). RCDome therefore treats the NCCD list as a nomenclature baseline and re-screens it through the G0–G6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lastRenderedPageBreak/>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the multi-optosis dataset spreadsheet from. (2) Primacy of provenance (P0–P3): no entity is ever deleted; composite or derived labels are retained with an explicit provenance note and the evidence PMIDs of their parent entities; a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 xml:space="preserve">Every operational definition is anchored to a reference PMID: the NCCD verbatim definitions to Galluzzi </w:t>
      </w:r>
      <w:r>
        <w:rPr>
          <w:i/>
        </w:rPr>
        <w:t>et al.</w:t>
      </w:r>
      <w:r>
        <w:t xml:space="preserve"> (PMID 29362479), the multi-optosis definitions to their primary characterization PMIDs, and the </w:t>
      </w:r>
      <w:r>
        <w:rPr>
          <w:i/>
        </w:rPr>
        <w:t>de novo</w:t>
      </w:r>
      <w:r>
        <w:t xml:space="preserve"> definitions to their founding PMID. The 25 multi-optosis entities additionally carry their full primary and secondary evidence PMIDs from the multi-optosis reference table. Each </w:t>
      </w:r>
      <w:r>
        <w:rPr>
          <w:i/>
        </w:rPr>
        <w:t>de novo</w:t>
      </w:r>
      <w:r>
        <w:t xml:space="preserve"> definition was corroborated against independent evidence streams —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C2 trigger or C3 morphology required by the NCCD logic were flagged criterion-pending, and umbrella categories were flagged umbrella-scope rather than as errors.</w:t>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 in which the operational definitions of the five RCD forms not described by the NCCD were extracted by generative AI (GPT-4o, via the PDF Ai Drive tool, over a corpus of 6,603 free-access PDFs) and subsequently validated by manual review —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The RCDome decoder (the curated 53-entity reference of operational definitions, key molecules, ontological category, and scored evidence)</w:t>
      </w:r>
      <w:r w:rsidR="00D16F02">
        <w:rPr>
          <w:rFonts w:asciiTheme="majorHAnsi" w:hAnsiTheme="majorHAnsi" w:cstheme="majorHAnsi"/>
          <w:szCs w:val="24"/>
        </w:rPr>
        <w:t xml:space="preserve"> </w:t>
      </w:r>
      <w:r w:rsidRPr="009B500E">
        <w:rPr>
          <w:rFonts w:asciiTheme="majorHAnsi" w:hAnsiTheme="majorHAnsi" w:cstheme="majorHAnsi"/>
          <w:szCs w:val="24"/>
        </w:rPr>
        <w:t>was audited for completeness, score reproducibility (the composite score S (0.25·C1 + 0.25·C2 + 0.20·C3 + 0.15·C4 + 0.10·C5 + 0.05·C6) recomputed bitwise for every record), PMID verifiability (Knock Test), calibration (draft scores versus the locked anchors), and invariance (NCCD definitions byte-identical to the source). Inter-rater agreement between the drafted and human-reviewed C1–C6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w:t>
      </w:r>
      <w:r w:rsidR="00635000">
        <w:rPr>
          <w:rFonts w:asciiTheme="majorHAnsi" w:hAnsiTheme="majorHAnsi" w:cstheme="majorHAnsi"/>
          <w:szCs w:val="24"/>
        </w:rPr>
        <w:t xml:space="preserve">e RCD forms </w:t>
      </w:r>
      <w:r w:rsidRPr="009B500E">
        <w:rPr>
          <w:rFonts w:asciiTheme="majorHAnsi" w:hAnsiTheme="majorHAnsi" w:cstheme="majorHAnsi"/>
          <w:szCs w:val="24"/>
        </w:rPr>
        <w:t xml:space="preserve">was compiled through four independent but complementary channels, designed to maximize both recall (Channel A: PubMed Boolean searches) and precision (Channels B, C, D: curated databases, AI-assisted screening, and manual curation) </w:t>
      </w:r>
      <w:r w:rsidRPr="009B500E">
        <w:rPr>
          <w:rFonts w:asciiTheme="majorHAnsi" w:hAnsiTheme="majorHAnsi" w:cstheme="majorHAnsi"/>
          <w:szCs w:val="24"/>
          <w:highlight w:val="green"/>
        </w:rPr>
        <w:t>(Figure 1).</w:t>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t>name exactly as recorded in each source database. A parallel rcd_form_canonical column was reserved for subsequent expert-governed unification of synonymous form names (e.g., "Entosis" to "Entotic cell death").</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3D60B651"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b/>
          <w:bCs/>
          <w:color w:val="auto"/>
          <w:szCs w:val="24"/>
        </w:rPr>
        <w:t>RCD Form Name Normalization</w:t>
      </w: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rsidRPr="00A30E1D">
        <w:rPr>
          <w:rFonts w:asciiTheme="majorHAnsi" w:hAnsiTheme="majorHAnsi" w:cstheme="majorHAnsi"/>
          <w:b/>
          <w:bCs/>
          <w:color w:val="auto"/>
          <w:szCs w:val="24"/>
        </w:rPr>
        <w:t>Phase 2 and 3: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 whether a gene and an RCD entity are genuinely linked in the published record — which is automated and scalable across the three independent channels; and (ii) RCD modality status validation — whether an entity constitutes a bona fide human cell-death modality —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(T1-T4)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(T1 = 7–10, T2 = 4–6, T3 = 2–3, T4 = 1). This confidence tier is a metric distinct from the evidence tier (T1–T4)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 </w:t>
      </w:r>
      <w:r w:rsidRPr="009B500E">
        <w:rPr>
          <w:rFonts w:asciiTheme="majorHAnsi" w:hAnsiTheme="majorHAnsi" w:cstheme="majorHAnsi"/>
          <w:szCs w:val="24"/>
        </w:rPr>
        <w:lastRenderedPageBreak/>
        <w:t>mechanistic (yes/no), role (executor/regulator/marker/uncertain), and direction (promotes/protects) —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(T2 to 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 xml:space="preserve">Output and Traceability. </w:t>
      </w:r>
      <w:r w:rsidRPr="009B500E">
        <w:rPr>
          <w:rFonts w:asciiTheme="majorHAnsi" w:hAnsiTheme="majorHAnsi" w:cstheme="majorHAnsi"/>
          <w:szCs w:val="24"/>
        </w:rPr>
        <w:t>Phase 2C adds four new columns to the unified matrix without overwriting Phase 2A values. These columns capture MECHANISTIC classifications from full-</w:t>
      </w:r>
      <w:r w:rsidRPr="009B500E">
        <w:rPr>
          <w:rFonts w:asciiTheme="majorHAnsi" w:hAnsiTheme="majorHAnsi" w:cstheme="majorHAnsi"/>
          <w:szCs w:val="24"/>
        </w:rPr>
        <w:lastRenderedPageBreak/>
        <w:t>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hyperlink r:id="rId39">
        <w:r>
          <w:rPr>
            <w:rStyle w:val="Hyperlink"/>
          </w:rPr>
          <w:t>https://pcm2019.shinyapps.io/XDeathDB</w:t>
        </w:r>
      </w:hyperlink>
      <w:r>
        <w:t>; PMID 34907160) was cited in Material and Methods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governance gates are defined in Supplementary Table S8.</w:t>
      </w:r>
      <w:r w:rsidR="00495FA3">
        <w:rPr>
          <w:rFonts w:asciiTheme="majorHAnsi" w:hAnsiTheme="majorHAnsi" w:cstheme="majorHAnsi"/>
          <w:szCs w:val="24"/>
        </w:rPr>
        <w:t xml:space="preserve"> </w:t>
      </w:r>
      <w:r w:rsidRPr="009B500E">
        <w:rPr>
          <w:rFonts w:asciiTheme="majorHAnsi" w:hAnsiTheme="majorHAnsi" w:cstheme="majorHAnsi"/>
          <w:szCs w:val="24"/>
        </w:rPr>
        <w:t>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 the gene symbol followed only by “cell death” — so that the model retrieves evidence without form-name priming. The channel returns a mechanistic verdict, role, and direction, benchmarked against the same 26-pair ground-truth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 RCD entities (all 53 RCD-related entities, with modal descriptions), Gene Catalog (the complete matrix with Genes, Isoforms, miRNA, and Proteins views, a Direction/Role source selector, a death-core preset, and a per-entity comparison), Network, and RCDchat (LLM literature consultation) —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(T1–T4).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G0–G6 hard-gate criteria for classification as bona fide RCD modalities. The 53 entities are organized into: 19 RCD modalities (bona fide cell death mechanisms with distinct molecular machinery, admitted through the G0-G6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These comprise 19 RCD modalities, 7 subtypes, 2 triggers, 13 functional/contextual categories, and 12 generic/umbrella/taxon concepts (Supplementary Table S3).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 a form formally excluded by the five-criteria admission framework (see Material and Methods) — were removed, eliminating three genes (APMAP, ATP11C, CDC50A) that appeared only under that form. Gene biotypes are predominantly protein-coding (20,643,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Among the 53 RCD-related entities, gene coverage is highly heterogeneous: the largest forms, Apoptosis (6,229 entries)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w:t>
      </w:r>
      <w:r w:rsidRPr="009B500E">
        <w:rPr>
          <w:rFonts w:asciiTheme="majorHAnsi" w:hAnsiTheme="majorHAnsi" w:cstheme="majorHAnsi"/>
          <w:szCs w:val="24"/>
        </w:rPr>
        <w:lastRenderedPageBreak/>
        <w:t>239) represent newly integrated categories not present in the original NCCD 2018-derived vocabulary. Every gene-RCD association carries full provenance to its source database —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S1).</w:t>
      </w:r>
    </w:p>
    <w:p w14:paraId="7E8C93A2" w14:textId="77777777" w:rsidR="004C566E" w:rsidRPr="009B500E" w:rsidRDefault="004C566E" w:rsidP="009B500E">
      <w:pPr>
        <w:spacing w:after="0" w:line="240" w:lineRule="auto"/>
        <w:rPr>
          <w:rFonts w:asciiTheme="majorHAnsi" w:hAnsiTheme="majorHAnsi" w:cstheme="majorHAnsi"/>
          <w:b/>
          <w:szCs w:val="24"/>
        </w:rPr>
      </w:pP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 of which five (cuproptosis, disulfidptosis, erebosis, alkaliptosis, and oxeiptosis) were not described by the NCCD and had been AI-extracted from a 6,603-PDF corpus and human-validated —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 the pre- and post-adjudication levels and the Q1–Q13 evidence trail under the G0–G6 hard gates —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C1–C6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 using PMC full text where available and Consensus full-text-derived takeaways otherwise —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 xml:space="preserve">Four of the </w:t>
      </w:r>
      <w:r>
        <w:rPr>
          <w:i/>
        </w:rPr>
        <w:t>de novo</w:t>
      </w:r>
      <w:r>
        <w:t xml:space="preserve"> drafts — lysoptosis, PANoptosis, regulated necrosis, and triaptosis — were flagged as criterion-pending because their founding articles describe the mechanism but not the C2 trigger and/or the 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 correcting a trigger-centered placement; and vacuolar cell death was reclassified from L4 to L5 as a taxon-specific morphological category (plant + protist; not human). Following the adoption of strict hard gates (G0-G6; Methods), the ontological levels were recalibrated across the 53 entities: L1 was restricted to the 16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w:t>
      </w:r>
      <w:r w:rsidR="004B02F0">
        <w:rPr>
          <w:rFonts w:asciiTheme="majorHAnsi" w:hAnsiTheme="majorHAnsi" w:cstheme="majorHAnsi"/>
          <w:szCs w:val="24"/>
        </w:rPr>
        <w:t xml:space="preserve"> </w:t>
      </w:r>
      <w:r w:rsidRPr="009B500E">
        <w:rPr>
          <w:rFonts w:asciiTheme="majorHAnsi" w:hAnsiTheme="majorHAnsi" w:cstheme="majorHAnsi"/>
          <w:szCs w:val="24"/>
        </w:rPr>
        <w:br/>
        <w:t>CONTEXT_GAP, 6,170 pairs (27.5%), PubMed confirms but LLM training does not recognize</w:t>
      </w:r>
      <w:r w:rsidR="004B02F0">
        <w:rPr>
          <w:rFonts w:asciiTheme="majorHAnsi" w:hAnsiTheme="majorHAnsi" w:cstheme="majorHAnsi"/>
          <w:szCs w:val="24"/>
        </w:rPr>
        <w:t xml:space="preserve"> </w:t>
      </w:r>
      <w:r w:rsidRPr="009B500E">
        <w:rPr>
          <w:rFonts w:asciiTheme="majorHAnsi" w:hAnsiTheme="majorHAnsi" w:cstheme="majorHAnsi"/>
          <w:szCs w:val="24"/>
        </w:rPr>
        <w:br/>
        <w:t>CO_OCCURRENCE, 2,416 pairs (10.8%), high paper counts but no mechanistic evidence</w:t>
      </w:r>
      <w:r w:rsidR="004B02F0">
        <w:rPr>
          <w:rFonts w:asciiTheme="majorHAnsi" w:hAnsiTheme="majorHAnsi" w:cstheme="majorHAnsi"/>
          <w:szCs w:val="24"/>
        </w:rPr>
        <w:t xml:space="preserve"> </w:t>
      </w:r>
      <w:r w:rsidRPr="009B500E">
        <w:rPr>
          <w:rFonts w:asciiTheme="majorHAnsi" w:hAnsiTheme="majorHAnsi" w:cstheme="majorHAnsi"/>
          <w:szCs w:val="24"/>
        </w:rPr>
        <w:br/>
        <w:t>INSUFFICIENT_DATA, 8,863 pairs (39.4%), few papers; LLM cannot determine involvemen</w:t>
      </w:r>
      <w:r w:rsidR="004B02F0">
        <w:rPr>
          <w:rFonts w:asciiTheme="majorHAnsi" w:hAnsiTheme="majorHAnsi" w:cstheme="majorHAnsi"/>
          <w:szCs w:val="24"/>
        </w:rPr>
        <w:t xml:space="preserve">t </w:t>
      </w:r>
      <w:r w:rsidRPr="009B500E">
        <w:rPr>
          <w:rFonts w:asciiTheme="majorHAnsi" w:hAnsiTheme="majorHAnsi" w:cstheme="majorHAnsi"/>
          <w:szCs w:val="24"/>
        </w:rPr>
        <w:br/>
        <w:t>DATABASE_ONLY, 442 pairs (2.0%), gene and RCD term never co-occur in PubMed</w:t>
      </w:r>
      <w:r w:rsidR="004B02F0">
        <w:rPr>
          <w:rFonts w:asciiTheme="majorHAnsi" w:hAnsiTheme="majorHAnsi" w:cstheme="majorHAnsi"/>
          <w:szCs w:val="24"/>
        </w:rPr>
        <w:t xml:space="preserve"> </w:t>
      </w:r>
      <w:r w:rsidRPr="009B500E">
        <w:rPr>
          <w:rFonts w:asciiTheme="majorHAnsi" w:hAnsiTheme="majorHAnsi" w:cstheme="majorHAnsi"/>
          <w:szCs w:val="24"/>
        </w:rPr>
        <w:br/>
        <w:t>TECHNICAL_FAILURE, 0 pairs (0%), no API failures in the final run</w:t>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 265 regulators (155 pro-survival, 110 pro-death) and 16 executors —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w:t>
      </w:r>
      <w:r w:rsidRPr="009B500E">
        <w:rPr>
          <w:rFonts w:asciiTheme="majorHAnsi" w:hAnsiTheme="majorHAnsi" w:cstheme="majorHAnsi"/>
          <w:bCs/>
          <w:szCs w:val="24"/>
        </w:rPr>
        <w:t>.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w:t>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w:t>
      </w:r>
      <w:r w:rsidRPr="009B500E">
        <w:rPr>
          <w:rFonts w:asciiTheme="majorHAnsi" w:hAnsiTheme="majorHAnsi" w:cstheme="majorHAnsi"/>
          <w:szCs w:val="24"/>
        </w:rPr>
        <w:t xml:space="preserv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(+33%), EXECUTOR precision from 47% to 100% (+113%), and traceability from 24% to 98% (+310%) (Figure 2B). The governance framework does not merely improve extraction quality -- it transforms an unreliable AI extraction into a verifiable, auditable evidence pipeline.</w:t>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and 70 context-dependent.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921 unique full-text papers in the deep layer versus 8,253 PMIDs and 9,145 DOIs in the Elicit layer, totaling 18,300 unique papers. Only 19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 evaluation and benchmarking, detection and mitigation, human oversight and accountability, transparency and explainability, and ethics and regulation —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 genes that directly execute the death pathway —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S2).</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 53 entity nodes colored by ontological level (L1 gold through L5 orange) along the rim, with a gene constellation beneath —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 L1 modalities (19, gold), L2 subtypes (7, blue), L3 triggers (2, green), L4 Functional/contextual (13, purple), and L5 Generic/umbrella/taxon (12, orange) — over a constellation of the 9,265 HGNC-validated genes. This color-coding makes the ontology’s core claim visible at a glance: only 19 of the 53 entities are bona fide RCD modalities; the remaining 37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 gene, biotype, RCD entity, cancer gene, confidence tier, mechanistic, role, direction, and source databases —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 Compendium Browser, Gene-Centric Explorer, Pathway Diagrams, Literature Consultation, Definition Comparator, Discovery Timeline, and Integration Toolkit —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extraction as much as for browsing. A Direction/Role source selector switches the displayed annotation between the DeepSeek chain-of-thought classification and the Elicit extraction, so a researcher can compare the two analyses side by side without conflating them. Four download buttons export the filtered gene table, the complete 71-column matrix, the per-entity comparison (Elicit versus DeepSeek executor and regulator counts for all 53 entities), and the death core — the 469 executor pairs, exported with full provenance columns. Every association PMID resolves to a verified article title (all 10,141 curated titles matched exactly against PubMed), and each row carries its source databases, evidence tier, and per-analysis verdicts. In practice, a researcher can, in a single session, filter to a mechanism of interest, download the underlying matrix, and trace any claim back to its original database or publication.</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lastRenderedPageBreak/>
        <w:t>NCBI Gene keyword-only associations following a spot audit that revealed zero overlap with known RCD executioner and regulator genes —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 53 RCD-related entities consolidated from 62 original name strings — was not something we anticipated when this project began. The list includes 16 bona fide RCD modalities, but also subtypes, trigger events, functional/contextual categories, and generic/umbrella/taxon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 62 original name strings across 20 resources —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 the bona fide death forms — carry 64.7% of their pairs as mechanistically involved, whereas the L5 concepts (Autophagy, Programmed cell death) carry only 31.3%,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 5,070 promoters versus 4,755 protectors (across all role-resolved associations) —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genes) and Autophagy (4,634) to Pyronecrosis (1 gene) (Figure 4). Where a subtype carries more genes than its parent — Autosis (1,105 genes) against Autophagy-dependent cell death (110) —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 DeepSeek (the chain-of-thought full-matrix classification) and Elicit (the original AI-assisted extraction) —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 because a wrong-but-confident label is worse than an honest unresolved. The benchmark record is strong, and it was built to be method-independent: the four landmark papers, the 17-pair ground truth, and the 26-pair benchmark were all fixed reference sets defined independently of the classifiers themselves —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 what counts as a modality, subtype, trigger, or umbrella —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Figure 1. RCDome compilation and validation pipeline. </w:t>
      </w:r>
      <w:r w:rsidRPr="002E2E0A">
        <w:rPr>
          <w:rFonts w:asciiTheme="majorHAnsi" w:hAnsiTheme="majorHAnsi" w:cstheme="majorHAnsi"/>
          <w:bCs/>
          <w:szCs w:val="24"/>
        </w:rPr>
        <w:t>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four complementary channels: Channel A (programmatic PubMed Boolean searches) maximizes recall; Channel B (topic-specific database extraction) provides precision; Channel C (generative-AI-assisted literature screening) captures recent discoveries; and Channel D (manual expert curation) serves as the final arbiter.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 the gene symbol followed only by “cell death” —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ground-truth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after governance no unsupported EXECUTOR classification remained (all 192 were downgraded to REGULATOR), and publication traceability from 24% to 98%. (C) Consensus query-formulation benchmark against the same 26-pair ground-truth set: the form-biased query reached 92% combined accuracy with 12% false positives, whereas the neutral query — the gene symbol followed only by “cell death” —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(64.7%) while the Functional/contextual categories (L4) are the most dilute (23.9%), with the Generic/umbrella/taxon concepts at 31.3%.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