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(generic/umbrella/generic/umbrella/taxon).</w:t>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(defines maturity);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16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14:paraId="0439782A" w14:textId="77777777" w:rsidR="0070721A" w:rsidRDefault="00000000">
      <w:r>
        <w:t>The relationship between the 16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w:t>
      </w:r>
      <w:r w:rsidRPr="000D6250">
        <w:rPr>
          <w:rFonts w:asciiTheme="majorHAnsi" w:hAnsiTheme="majorHAnsi" w:cstheme="majorHAnsi"/>
          <w:b/>
          <w:color w:val="auto"/>
          <w:szCs w:val="24"/>
          <w:lang w:val="es-CO"/>
        </w:rPr>
        <w:t>19</w:t>
      </w:r>
      <w:r w:rsidRPr="000D6250">
        <w:rPr>
          <w:rFonts w:asciiTheme="majorHAnsi" w:hAnsiTheme="majorHAnsi" w:cstheme="majorHAnsi"/>
          <w:color w:val="auto"/>
          <w:szCs w:val="24"/>
          <w:lang w:val="es-CO"/>
        </w:rPr>
        <w:t xml:space="preserve">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/umbrella/</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