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16 RCD modalities (bona fide cell death mechanisms with distinct molecular machinery, admitted through the G0-G6 hard gates), 5 subtypes (mechanistic subdivisions of parent modalities), 2 triggers (events that initiate cell death without themselves being death mechanisms), 11 functional/contextual categories (contextual programs, morphological outcomes, cell-type and differentiation programs), and 19 generic/umbrella/legacy/taxon/emerging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16 RCD modalities, 5 subtypes, 2 triggers, 11 functional/contextual categories, and 19 generic/umbrella/legacy/taxon/emerging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(16, gold), L2 subtypes (5, blue), L3 triggers (2, green), L4 Functional/contextual (11, purple), and L5 Generic/umbrella/legacy/taxon/emerging (19,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generic/umbrella/legacy/taxon/emerging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Generic/umbrella/legacy/taxon/emerging concepts); the modalities carry the densest mechanistic signal (64.7%) while the Functional/contextual categories (L4) are the most dilute (23.9%), with the Generic/umbrella/legacy/taxon/emerging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Generic/umbrella/legacy/taxon/emerging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