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EB72C9">
      <w:pPr>
        <w:spacing w:after="0" w:line="240" w:lineRule="auto"/>
        <w:rPr>
          <w:rFonts w:asciiTheme="majorHAnsi" w:hAnsiTheme="majorHAnsi" w:cstheme="majorHAnsi"/>
          <w:b/>
          <w:bCs/>
          <w:szCs w:val="24"/>
        </w:rPr>
      </w:pPr>
    </w:p>
    <w:p w14:paraId="78C8BA3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EB72C9">
      <w:pPr>
        <w:spacing w:after="0" w:line="240" w:lineRule="auto"/>
        <w:rPr>
          <w:rFonts w:asciiTheme="majorHAnsi" w:hAnsiTheme="majorHAnsi" w:cstheme="majorHAnsi"/>
          <w:szCs w:val="24"/>
        </w:rPr>
      </w:pPr>
    </w:p>
    <w:p w14:paraId="7EB36F78"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EB72C9">
      <w:pPr>
        <w:spacing w:after="0" w:line="240" w:lineRule="auto"/>
        <w:rPr>
          <w:rFonts w:asciiTheme="majorHAnsi" w:hAnsiTheme="majorHAnsi" w:cstheme="majorHAnsi"/>
          <w:szCs w:val="24"/>
          <w:lang w:val="pt-BR"/>
        </w:rPr>
      </w:pPr>
    </w:p>
    <w:p w14:paraId="551347F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EB72C9">
      <w:pPr>
        <w:spacing w:after="0" w:line="240" w:lineRule="auto"/>
        <w:rPr>
          <w:rFonts w:asciiTheme="majorHAnsi" w:hAnsiTheme="majorHAnsi" w:cstheme="majorHAnsi"/>
          <w:szCs w:val="24"/>
          <w:lang w:val="pt-BR"/>
        </w:rPr>
      </w:pPr>
    </w:p>
    <w:p w14:paraId="54C6858D"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EB72C9">
      <w:pPr>
        <w:spacing w:after="0" w:line="240" w:lineRule="auto"/>
        <w:rPr>
          <w:rFonts w:asciiTheme="majorHAnsi" w:hAnsiTheme="majorHAnsi" w:cstheme="majorHAnsi"/>
          <w:szCs w:val="24"/>
          <w:lang w:val="pt-BR"/>
        </w:rPr>
      </w:pPr>
    </w:p>
    <w:p w14:paraId="5C1ABA99"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EB72C9">
      <w:pPr>
        <w:spacing w:after="0" w:line="240" w:lineRule="auto"/>
        <w:rPr>
          <w:rFonts w:asciiTheme="majorHAnsi" w:hAnsiTheme="majorHAnsi" w:cstheme="majorHAnsi"/>
          <w:szCs w:val="24"/>
        </w:rPr>
      </w:pPr>
    </w:p>
    <w:p w14:paraId="15E733F3"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EB72C9">
      <w:pPr>
        <w:spacing w:after="0" w:line="240" w:lineRule="auto"/>
        <w:rPr>
          <w:rFonts w:asciiTheme="majorHAnsi" w:hAnsiTheme="majorHAnsi" w:cstheme="majorHAnsi"/>
          <w:b/>
          <w:bCs/>
          <w:szCs w:val="24"/>
        </w:rPr>
      </w:pPr>
    </w:p>
    <w:p w14:paraId="39EA0A57" w14:textId="77777777" w:rsidR="00491AB7" w:rsidRDefault="00491AB7" w:rsidP="00EB72C9">
      <w:pPr>
        <w:spacing w:after="0" w:line="240" w:lineRule="auto"/>
        <w:rPr>
          <w:rFonts w:asciiTheme="majorHAnsi" w:hAnsiTheme="majorHAnsi" w:cstheme="majorHAnsi"/>
          <w:szCs w:val="24"/>
        </w:rPr>
      </w:pPr>
    </w:p>
    <w:p w14:paraId="629B8E0F" w14:textId="77777777" w:rsidR="00447372" w:rsidRDefault="00000000" w:rsidP="00EB72C9">
      <w:pPr>
        <w:spacing w:after="0" w:line="240" w:lineRule="auto"/>
      </w:pPr>
      <w:r>
        <w:t>Word count (main text): 15,739</w:t>
      </w:r>
    </w:p>
    <w:p w14:paraId="04A5C938" w14:textId="77777777" w:rsidR="00447372" w:rsidRDefault="00000000" w:rsidP="00EB72C9">
      <w:pPr>
        <w:spacing w:after="0" w:line="240" w:lineRule="auto"/>
      </w:pPr>
      <w:r>
        <w:t>Number of figures: 04 main text; 03 supplementary material</w:t>
      </w:r>
    </w:p>
    <w:p w14:paraId="67250ECE" w14:textId="77777777" w:rsidR="00447372" w:rsidRDefault="00000000" w:rsidP="00EB72C9">
      <w:pPr>
        <w:spacing w:after="0" w:line="240" w:lineRule="auto"/>
      </w:pPr>
      <w:r>
        <w:t>Number of tables: 15 supplementary tables in the Excel workbook</w:t>
      </w:r>
    </w:p>
    <w:p w14:paraId="13B5EE26" w14:textId="77777777" w:rsidR="00447372" w:rsidRDefault="00000000" w:rsidP="00EB72C9">
      <w:pPr>
        <w:spacing w:after="0" w:line="240" w:lineRule="auto"/>
      </w:pPr>
      <w:r>
        <w:t>Number of Datasets: 01 (Dataset S1, the unified matrix)</w:t>
      </w:r>
    </w:p>
    <w:p w14:paraId="457DDE34"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EB72C9">
      <w:pPr>
        <w:spacing w:after="0" w:line="240" w:lineRule="auto"/>
        <w:rPr>
          <w:b/>
        </w:rPr>
      </w:pPr>
    </w:p>
    <w:p w14:paraId="21EAFBEB"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EB72C9">
      <w:pPr>
        <w:spacing w:after="0" w:line="240" w:lineRule="auto"/>
      </w:pPr>
    </w:p>
    <w:p w14:paraId="7A6D0802" w14:textId="77777777" w:rsidR="00257B78" w:rsidRPr="005345B4" w:rsidRDefault="00000000" w:rsidP="00EB72C9">
      <w:pPr>
        <w:spacing w:after="0" w:line="240" w:lineRule="auto"/>
      </w:pPr>
      <w:r w:rsidRPr="005345B4">
        <w:rPr>
          <w:b/>
        </w:rPr>
        <w:t xml:space="preserve">Methods: </w:t>
      </w:r>
      <w:r w:rsidRPr="00F62906">
        <w:rPr>
          <w:bCs/>
        </w:rP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F62906">
        <w:rPr>
          <w:bCs/>
        </w:rPr>
        <w:t>Elicit</w:t>
      </w:r>
      <w:proofErr w:type="gramEnd"/>
      <w:r w:rsidRPr="00F62906">
        <w:rPr>
          <w:bCs/>
        </w:rP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EB72C9">
      <w:pPr>
        <w:spacing w:after="0" w:line="240" w:lineRule="auto"/>
      </w:pPr>
    </w:p>
    <w:p w14:paraId="7F51BA4F"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and 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EB72C9">
      <w:pPr>
        <w:spacing w:after="0" w:line="240" w:lineRule="auto"/>
      </w:pPr>
    </w:p>
    <w:p w14:paraId="37594D86"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77FFE26C" w14:textId="77777777" w:rsidR="00257B78" w:rsidRPr="005345B4" w:rsidRDefault="00257B78" w:rsidP="00EB72C9">
      <w:pPr>
        <w:spacing w:after="0" w:line="240" w:lineRule="auto"/>
        <w:rPr>
          <w:rFonts w:asciiTheme="majorHAnsi" w:hAnsiTheme="majorHAnsi" w:cstheme="majorHAnsi"/>
          <w:szCs w:val="24"/>
        </w:rPr>
      </w:pPr>
    </w:p>
    <w:p w14:paraId="2E9E33C9"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063564E3" w14:textId="77777777" w:rsidR="003334EE" w:rsidRPr="005345B4" w:rsidRDefault="003334EE" w:rsidP="00EB72C9">
      <w:pPr>
        <w:pStyle w:val="Ttulo2"/>
        <w:spacing w:before="0" w:line="240" w:lineRule="auto"/>
        <w:rPr>
          <w:rFonts w:cstheme="majorHAnsi"/>
          <w:sz w:val="24"/>
          <w:szCs w:val="24"/>
        </w:rPr>
      </w:pPr>
    </w:p>
    <w:p w14:paraId="496C1B27"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EB72C9">
      <w:pPr>
        <w:spacing w:after="0" w:line="240" w:lineRule="auto"/>
        <w:rPr>
          <w:rFonts w:asciiTheme="majorHAnsi" w:hAnsiTheme="majorHAnsi" w:cstheme="majorHAnsi"/>
          <w:szCs w:val="24"/>
        </w:rPr>
      </w:pPr>
    </w:p>
    <w:p w14:paraId="6FC45877"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EB72C9">
      <w:pPr>
        <w:spacing w:after="0" w:line="240" w:lineRule="auto"/>
        <w:rPr>
          <w:rFonts w:asciiTheme="majorHAnsi" w:hAnsiTheme="majorHAnsi" w:cstheme="majorHAnsi"/>
          <w:szCs w:val="24"/>
        </w:rPr>
      </w:pPr>
    </w:p>
    <w:p w14:paraId="670D0D46"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EB72C9">
      <w:pPr>
        <w:spacing w:after="0" w:line="240" w:lineRule="auto"/>
        <w:rPr>
          <w:rFonts w:asciiTheme="majorHAnsi" w:hAnsiTheme="majorHAnsi" w:cstheme="majorHAnsi"/>
          <w:szCs w:val="24"/>
        </w:rPr>
      </w:pPr>
    </w:p>
    <w:p w14:paraId="2AF77A5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EB72C9">
      <w:pPr>
        <w:spacing w:after="0" w:line="240" w:lineRule="auto"/>
        <w:rPr>
          <w:rFonts w:asciiTheme="majorHAnsi" w:hAnsiTheme="majorHAnsi" w:cstheme="majorHAnsi"/>
          <w:szCs w:val="24"/>
        </w:rPr>
      </w:pPr>
    </w:p>
    <w:p w14:paraId="4CA1F4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C2C77A2" w14:textId="77777777" w:rsidR="00EC5F2D" w:rsidRPr="005345B4" w:rsidRDefault="00EC5F2D" w:rsidP="00EB72C9">
      <w:pPr>
        <w:spacing w:after="0" w:line="240" w:lineRule="auto"/>
        <w:rPr>
          <w:rFonts w:asciiTheme="majorHAnsi" w:hAnsiTheme="majorHAnsi" w:cstheme="majorHAnsi"/>
          <w:szCs w:val="24"/>
        </w:rPr>
      </w:pPr>
    </w:p>
    <w:p w14:paraId="50F66C1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EB72C9">
      <w:pPr>
        <w:spacing w:after="0" w:line="240" w:lineRule="auto"/>
        <w:rPr>
          <w:rFonts w:asciiTheme="majorHAnsi" w:hAnsiTheme="majorHAnsi" w:cstheme="majorHAnsi"/>
          <w:szCs w:val="24"/>
        </w:rPr>
      </w:pPr>
    </w:p>
    <w:p w14:paraId="7D458DA4"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057BE3E" w14:textId="77777777" w:rsidR="00022C1B" w:rsidRPr="005345B4" w:rsidRDefault="00022C1B" w:rsidP="00EB72C9">
      <w:pPr>
        <w:pStyle w:val="Ttulo2"/>
        <w:spacing w:before="0" w:line="240" w:lineRule="auto"/>
        <w:rPr>
          <w:rFonts w:cstheme="majorHAnsi"/>
          <w:sz w:val="24"/>
          <w:szCs w:val="24"/>
        </w:rPr>
      </w:pPr>
    </w:p>
    <w:p w14:paraId="712A3F7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7CD29F0F" w14:textId="77777777" w:rsidR="00D96343" w:rsidRPr="005345B4" w:rsidRDefault="00D96343" w:rsidP="00EB72C9">
      <w:pPr>
        <w:spacing w:after="0" w:line="240" w:lineRule="auto"/>
        <w:rPr>
          <w:rFonts w:asciiTheme="majorHAnsi" w:hAnsiTheme="majorHAnsi" w:cstheme="majorHAnsi"/>
          <w:szCs w:val="24"/>
        </w:rPr>
      </w:pPr>
    </w:p>
    <w:p w14:paraId="372CFE0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EB72C9">
      <w:pPr>
        <w:spacing w:after="0" w:line="240" w:lineRule="auto"/>
        <w:rPr>
          <w:rFonts w:asciiTheme="majorHAnsi" w:hAnsiTheme="majorHAnsi" w:cstheme="majorHAnsi"/>
          <w:b/>
          <w:bCs/>
          <w:szCs w:val="24"/>
        </w:rPr>
      </w:pPr>
    </w:p>
    <w:p w14:paraId="6BAF27A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t>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association databases and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EB72C9">
      <w:pPr>
        <w:spacing w:after="0" w:line="240" w:lineRule="auto"/>
        <w:rPr>
          <w:rFonts w:asciiTheme="majorHAnsi" w:hAnsiTheme="majorHAnsi" w:cstheme="majorHAnsi"/>
          <w:b/>
          <w:bCs/>
          <w:szCs w:val="24"/>
        </w:rPr>
      </w:pPr>
    </w:p>
    <w:p w14:paraId="325B90A7"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EB72C9">
      <w:pPr>
        <w:spacing w:after="0" w:line="240" w:lineRule="auto"/>
        <w:rPr>
          <w:rFonts w:asciiTheme="majorHAnsi" w:hAnsiTheme="majorHAnsi" w:cstheme="majorHAnsi"/>
          <w:b/>
          <w:bCs/>
          <w:szCs w:val="24"/>
        </w:rPr>
      </w:pPr>
    </w:p>
    <w:p w14:paraId="2D8F7077"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EB72C9">
      <w:pPr>
        <w:spacing w:after="0" w:line="240" w:lineRule="auto"/>
        <w:rPr>
          <w:rFonts w:asciiTheme="majorHAnsi" w:hAnsiTheme="majorHAnsi" w:cstheme="majorHAnsi"/>
          <w:szCs w:val="24"/>
        </w:rPr>
      </w:pPr>
    </w:p>
    <w:p w14:paraId="3DAC30A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20 association databases and resources (Supplementary Table S2).</w:t>
      </w:r>
    </w:p>
    <w:p w14:paraId="11D34A11" w14:textId="77777777" w:rsidR="00EC5F2D" w:rsidRPr="005345B4" w:rsidRDefault="00EC5F2D" w:rsidP="00EB72C9">
      <w:pPr>
        <w:spacing w:after="0" w:line="240" w:lineRule="auto"/>
        <w:rPr>
          <w:rFonts w:asciiTheme="majorHAnsi" w:hAnsiTheme="majorHAnsi" w:cstheme="majorHAnsi"/>
          <w:szCs w:val="24"/>
        </w:rPr>
      </w:pPr>
    </w:p>
    <w:p w14:paraId="71CD280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w:t>
      </w:r>
      <w:r w:rsidRPr="005345B4">
        <w:rPr>
          <w:rFonts w:asciiTheme="majorHAnsi" w:hAnsiTheme="majorHAnsi" w:cstheme="majorHAnsi"/>
          <w:szCs w:val="24"/>
        </w:rPr>
        <w:lastRenderedPageBreak/>
        <w:t>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p>
    <w:p w14:paraId="66852A58" w14:textId="77777777" w:rsidR="005E2A6F" w:rsidRPr="005345B4" w:rsidRDefault="005E2A6F" w:rsidP="00EB72C9">
      <w:pPr>
        <w:spacing w:after="0" w:line="240" w:lineRule="auto"/>
        <w:rPr>
          <w:rFonts w:asciiTheme="majorHAnsi" w:hAnsiTheme="majorHAnsi" w:cstheme="majorHAnsi"/>
          <w:szCs w:val="24"/>
        </w:rPr>
      </w:pPr>
    </w:p>
    <w:p w14:paraId="1DB66CC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EB72C9">
      <w:pPr>
        <w:spacing w:after="0" w:line="240" w:lineRule="auto"/>
        <w:rPr>
          <w:rFonts w:asciiTheme="majorHAnsi" w:hAnsiTheme="majorHAnsi" w:cstheme="majorHAnsi"/>
          <w:szCs w:val="24"/>
        </w:rPr>
      </w:pPr>
    </w:p>
    <w:p w14:paraId="30BD47F0"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w:t>
      </w:r>
      <w:r w:rsidRPr="005345B4">
        <w:rPr>
          <w:rFonts w:asciiTheme="majorHAnsi" w:hAnsiTheme="majorHAnsi" w:cstheme="majorHAnsi"/>
          <w:szCs w:val="24"/>
        </w:rPr>
        <w:lastRenderedPageBreak/>
        <w:t>adjudicated by the curators, with the resulting consensus classification recorded as the final ontological assignment.</w:t>
      </w:r>
    </w:p>
    <w:p w14:paraId="3287905E" w14:textId="77777777" w:rsidR="004A5E2F" w:rsidRPr="005345B4" w:rsidRDefault="004A5E2F" w:rsidP="00EB72C9">
      <w:pPr>
        <w:spacing w:after="0" w:line="240" w:lineRule="auto"/>
        <w:rPr>
          <w:rFonts w:asciiTheme="majorHAnsi" w:hAnsiTheme="majorHAnsi" w:cstheme="majorHAnsi"/>
          <w:szCs w:val="24"/>
        </w:rPr>
      </w:pPr>
    </w:p>
    <w:p w14:paraId="15BA33A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35B53EC" w14:textId="77777777" w:rsidR="001E0E68" w:rsidRPr="005345B4" w:rsidRDefault="001E0E68" w:rsidP="00EB72C9">
      <w:pPr>
        <w:spacing w:after="0" w:line="240" w:lineRule="auto"/>
        <w:rPr>
          <w:rFonts w:asciiTheme="majorHAnsi" w:hAnsiTheme="majorHAnsi" w:cstheme="majorHAnsi"/>
          <w:szCs w:val="24"/>
        </w:rPr>
      </w:pPr>
    </w:p>
    <w:p w14:paraId="01AF5390"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EB72C9">
      <w:pPr>
        <w:spacing w:after="0" w:line="240" w:lineRule="auto"/>
        <w:rPr>
          <w:rFonts w:asciiTheme="majorHAnsi" w:hAnsiTheme="majorHAnsi" w:cstheme="majorHAnsi"/>
          <w:szCs w:val="24"/>
        </w:rPr>
      </w:pPr>
    </w:p>
    <w:p w14:paraId="52D3F5AB"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EB72C9">
      <w:pPr>
        <w:spacing w:after="0" w:line="240" w:lineRule="auto"/>
        <w:rPr>
          <w:rFonts w:asciiTheme="majorHAnsi" w:hAnsiTheme="majorHAnsi" w:cstheme="majorHAnsi"/>
          <w:szCs w:val="24"/>
        </w:rPr>
      </w:pPr>
    </w:p>
    <w:p w14:paraId="7CCD0847"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0C38C25"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EB72C9">
      <w:pPr>
        <w:spacing w:after="0" w:line="240" w:lineRule="auto"/>
        <w:rPr>
          <w:rFonts w:asciiTheme="majorHAnsi" w:hAnsiTheme="majorHAnsi" w:cstheme="majorHAnsi"/>
          <w:szCs w:val="24"/>
        </w:rPr>
      </w:pPr>
    </w:p>
    <w:p w14:paraId="78896E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EB72C9">
      <w:pPr>
        <w:spacing w:after="0" w:line="240" w:lineRule="auto"/>
        <w:rPr>
          <w:rFonts w:asciiTheme="majorHAnsi" w:hAnsiTheme="majorHAnsi" w:cstheme="majorHAnsi"/>
          <w:szCs w:val="24"/>
        </w:rPr>
      </w:pPr>
    </w:p>
    <w:p w14:paraId="453B31E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w:t>
      </w:r>
      <w:r w:rsidRPr="005345B4">
        <w:rPr>
          <w:rFonts w:asciiTheme="majorHAnsi" w:hAnsiTheme="majorHAnsi" w:cstheme="majorHAnsi"/>
          <w:szCs w:val="24"/>
        </w:rPr>
        <w:lastRenderedPageBreak/>
        <w:t>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EB72C9">
      <w:pPr>
        <w:spacing w:after="0" w:line="240" w:lineRule="auto"/>
        <w:rPr>
          <w:rFonts w:asciiTheme="majorHAnsi" w:hAnsiTheme="majorHAnsi" w:cstheme="majorHAnsi"/>
          <w:szCs w:val="24"/>
        </w:rPr>
      </w:pPr>
    </w:p>
    <w:p w14:paraId="1CFC1142"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EB72C9">
      <w:pPr>
        <w:spacing w:after="0" w:line="240" w:lineRule="auto"/>
        <w:rPr>
          <w:rFonts w:asciiTheme="majorHAnsi" w:hAnsiTheme="majorHAnsi" w:cstheme="majorHAnsi"/>
          <w:szCs w:val="24"/>
        </w:rPr>
      </w:pPr>
    </w:p>
    <w:p w14:paraId="563647AF"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EB72C9">
      <w:pPr>
        <w:spacing w:after="0" w:line="240" w:lineRule="auto"/>
        <w:rPr>
          <w:rFonts w:asciiTheme="majorHAnsi" w:hAnsiTheme="majorHAnsi" w:cstheme="majorHAnsi"/>
          <w:b/>
          <w:bCs/>
          <w:szCs w:val="24"/>
        </w:rPr>
      </w:pPr>
    </w:p>
    <w:p w14:paraId="007A0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EB72C9">
      <w:pPr>
        <w:spacing w:after="0" w:line="240" w:lineRule="auto"/>
        <w:rPr>
          <w:rFonts w:asciiTheme="majorHAnsi" w:hAnsiTheme="majorHAnsi" w:cstheme="majorHAnsi"/>
          <w:szCs w:val="24"/>
        </w:rPr>
      </w:pPr>
    </w:p>
    <w:p w14:paraId="5EA1AD1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EB72C9">
      <w:pPr>
        <w:spacing w:after="0" w:line="240" w:lineRule="auto"/>
        <w:rPr>
          <w:rFonts w:asciiTheme="majorHAnsi" w:hAnsiTheme="majorHAnsi" w:cstheme="majorHAnsi"/>
          <w:color w:val="EE0000"/>
          <w:szCs w:val="24"/>
        </w:rPr>
      </w:pPr>
    </w:p>
    <w:p w14:paraId="0D9D37D2"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EB72C9">
      <w:pPr>
        <w:spacing w:after="0" w:line="240" w:lineRule="auto"/>
        <w:rPr>
          <w:rFonts w:asciiTheme="majorHAnsi" w:hAnsiTheme="majorHAnsi" w:cstheme="majorHAnsi"/>
          <w:color w:val="auto"/>
          <w:szCs w:val="24"/>
        </w:rPr>
      </w:pPr>
    </w:p>
    <w:p w14:paraId="529A8AC6"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EB72C9">
      <w:pPr>
        <w:spacing w:after="0" w:line="240" w:lineRule="auto"/>
        <w:rPr>
          <w:rFonts w:asciiTheme="majorHAnsi" w:hAnsiTheme="majorHAnsi" w:cstheme="majorHAnsi"/>
          <w:szCs w:val="24"/>
        </w:rPr>
      </w:pPr>
    </w:p>
    <w:p w14:paraId="31D54A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EB72C9">
      <w:pPr>
        <w:spacing w:after="0" w:line="240" w:lineRule="auto"/>
        <w:rPr>
          <w:rFonts w:asciiTheme="majorHAnsi" w:hAnsiTheme="majorHAnsi" w:cstheme="majorHAnsi"/>
          <w:szCs w:val="24"/>
        </w:rPr>
      </w:pPr>
    </w:p>
    <w:p w14:paraId="17E6BD11"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EB72C9">
      <w:pPr>
        <w:spacing w:after="0" w:line="240" w:lineRule="auto"/>
        <w:rPr>
          <w:rFonts w:asciiTheme="majorHAnsi" w:hAnsiTheme="majorHAnsi" w:cstheme="majorHAnsi"/>
          <w:szCs w:val="24"/>
        </w:rPr>
      </w:pPr>
    </w:p>
    <w:p w14:paraId="57B6B28F"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EB72C9">
      <w:pPr>
        <w:spacing w:after="0" w:line="240" w:lineRule="auto"/>
        <w:rPr>
          <w:rFonts w:asciiTheme="majorHAnsi" w:hAnsiTheme="majorHAnsi" w:cstheme="majorHAnsi"/>
          <w:szCs w:val="24"/>
        </w:rPr>
      </w:pPr>
    </w:p>
    <w:p w14:paraId="1ACB26A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EB72C9">
      <w:pPr>
        <w:spacing w:after="0" w:line="240" w:lineRule="auto"/>
        <w:rPr>
          <w:rFonts w:asciiTheme="majorHAnsi" w:hAnsiTheme="majorHAnsi" w:cstheme="majorHAnsi"/>
          <w:szCs w:val="24"/>
        </w:rPr>
      </w:pPr>
    </w:p>
    <w:p w14:paraId="653B807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EB72C9">
      <w:pPr>
        <w:spacing w:after="0" w:line="240" w:lineRule="auto"/>
        <w:rPr>
          <w:rFonts w:asciiTheme="majorHAnsi" w:hAnsiTheme="majorHAnsi" w:cstheme="majorHAnsi"/>
          <w:color w:val="EE0000"/>
          <w:szCs w:val="24"/>
        </w:rPr>
      </w:pPr>
    </w:p>
    <w:p w14:paraId="1196EAE3"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EB72C9">
      <w:pPr>
        <w:spacing w:after="0" w:line="240" w:lineRule="auto"/>
        <w:rPr>
          <w:rFonts w:asciiTheme="majorHAnsi" w:hAnsiTheme="majorHAnsi" w:cstheme="majorHAnsi"/>
          <w:szCs w:val="24"/>
        </w:rPr>
      </w:pPr>
    </w:p>
    <w:p w14:paraId="3BC3D68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EB72C9">
      <w:pPr>
        <w:spacing w:after="0" w:line="240" w:lineRule="auto"/>
        <w:rPr>
          <w:rFonts w:asciiTheme="majorHAnsi" w:hAnsiTheme="majorHAnsi" w:cstheme="majorHAnsi"/>
          <w:b/>
          <w:bCs/>
          <w:szCs w:val="24"/>
        </w:rPr>
      </w:pPr>
    </w:p>
    <w:p w14:paraId="77625AC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EB72C9">
      <w:pPr>
        <w:spacing w:after="0" w:line="240" w:lineRule="auto"/>
        <w:rPr>
          <w:rFonts w:asciiTheme="majorHAnsi" w:hAnsiTheme="majorHAnsi" w:cstheme="majorHAnsi"/>
          <w:szCs w:val="24"/>
        </w:rPr>
      </w:pPr>
    </w:p>
    <w:p w14:paraId="5F3D710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EB72C9">
      <w:pPr>
        <w:spacing w:after="0" w:line="240" w:lineRule="auto"/>
        <w:rPr>
          <w:rFonts w:asciiTheme="majorHAnsi" w:hAnsiTheme="majorHAnsi" w:cstheme="majorHAnsi"/>
          <w:szCs w:val="24"/>
        </w:rPr>
      </w:pPr>
    </w:p>
    <w:p w14:paraId="7CE7B91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w:t>
      </w:r>
      <w:r w:rsidRPr="005345B4">
        <w:rPr>
          <w:rFonts w:asciiTheme="majorHAnsi" w:hAnsiTheme="majorHAnsi" w:cstheme="majorHAnsi"/>
          <w:szCs w:val="24"/>
        </w:rPr>
        <w:lastRenderedPageBreak/>
        <w:t xml:space="preserve">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EB72C9">
      <w:pPr>
        <w:spacing w:after="0" w:line="240" w:lineRule="auto"/>
        <w:rPr>
          <w:rFonts w:asciiTheme="majorHAnsi" w:hAnsiTheme="majorHAnsi" w:cstheme="majorHAnsi"/>
          <w:szCs w:val="24"/>
        </w:rPr>
      </w:pPr>
    </w:p>
    <w:p w14:paraId="2B7C51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EB72C9">
      <w:pPr>
        <w:spacing w:after="0" w:line="240" w:lineRule="auto"/>
        <w:rPr>
          <w:rFonts w:asciiTheme="majorHAnsi" w:hAnsiTheme="majorHAnsi" w:cstheme="majorHAnsi"/>
          <w:szCs w:val="24"/>
        </w:rPr>
      </w:pPr>
    </w:p>
    <w:p w14:paraId="727ADFDB"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EB72C9">
      <w:pPr>
        <w:spacing w:after="0" w:line="240" w:lineRule="auto"/>
        <w:rPr>
          <w:rFonts w:asciiTheme="majorHAnsi" w:hAnsiTheme="majorHAnsi" w:cstheme="majorHAnsi"/>
          <w:b/>
          <w:bCs/>
          <w:szCs w:val="24"/>
        </w:rPr>
      </w:pPr>
    </w:p>
    <w:p w14:paraId="416FB47B"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EB72C9">
      <w:pPr>
        <w:spacing w:after="0" w:line="240" w:lineRule="auto"/>
        <w:rPr>
          <w:rFonts w:asciiTheme="majorHAnsi" w:hAnsiTheme="majorHAnsi" w:cstheme="majorHAnsi"/>
          <w:color w:val="auto"/>
          <w:szCs w:val="24"/>
        </w:rPr>
      </w:pPr>
    </w:p>
    <w:p w14:paraId="361FA5BD"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EB72C9">
      <w:pPr>
        <w:spacing w:after="0" w:line="240" w:lineRule="auto"/>
        <w:rPr>
          <w:rFonts w:asciiTheme="majorHAnsi" w:hAnsiTheme="majorHAnsi" w:cstheme="majorHAnsi"/>
          <w:color w:val="auto"/>
          <w:szCs w:val="24"/>
        </w:rPr>
      </w:pPr>
    </w:p>
    <w:p w14:paraId="0C43A94E"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EB72C9">
      <w:pPr>
        <w:spacing w:after="0" w:line="240" w:lineRule="auto"/>
        <w:rPr>
          <w:rFonts w:asciiTheme="majorHAnsi" w:hAnsiTheme="majorHAnsi" w:cstheme="majorHAnsi"/>
          <w:color w:val="auto"/>
          <w:szCs w:val="24"/>
        </w:rPr>
      </w:pPr>
    </w:p>
    <w:p w14:paraId="3E2E5EC5"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lastRenderedPageBreak/>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EB72C9">
      <w:pPr>
        <w:spacing w:after="0" w:line="240" w:lineRule="auto"/>
        <w:rPr>
          <w:rFonts w:asciiTheme="majorHAnsi" w:hAnsiTheme="majorHAnsi" w:cstheme="majorHAnsi"/>
          <w:color w:val="auto"/>
          <w:szCs w:val="24"/>
        </w:rPr>
      </w:pPr>
    </w:p>
    <w:p w14:paraId="713551CC"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EB72C9">
      <w:pPr>
        <w:spacing w:after="0" w:line="240" w:lineRule="auto"/>
        <w:rPr>
          <w:rFonts w:asciiTheme="majorHAnsi" w:hAnsiTheme="majorHAnsi" w:cstheme="majorHAnsi"/>
          <w:color w:val="auto"/>
          <w:szCs w:val="24"/>
        </w:rPr>
      </w:pPr>
    </w:p>
    <w:p w14:paraId="2081AEF7" w14:textId="77777777" w:rsidR="00EA778E" w:rsidRPr="005345B4" w:rsidRDefault="00EA778E" w:rsidP="00EB72C9">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association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EB72C9">
      <w:pPr>
        <w:spacing w:after="0" w:line="240" w:lineRule="auto"/>
        <w:rPr>
          <w:rFonts w:asciiTheme="majorHAnsi" w:hAnsiTheme="majorHAnsi" w:cstheme="majorHAnsi"/>
          <w:color w:val="auto"/>
          <w:szCs w:val="24"/>
        </w:rPr>
      </w:pPr>
    </w:p>
    <w:p w14:paraId="77390683" w14:textId="77777777"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EB72C9">
      <w:pPr>
        <w:spacing w:after="0" w:line="240" w:lineRule="auto"/>
        <w:rPr>
          <w:rFonts w:asciiTheme="majorHAnsi" w:hAnsiTheme="majorHAnsi" w:cstheme="majorHAnsi"/>
          <w:color w:val="auto"/>
          <w:szCs w:val="24"/>
        </w:rPr>
      </w:pPr>
    </w:p>
    <w:p w14:paraId="7AF4A986" w14:textId="77777777"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EB72C9">
      <w:pPr>
        <w:spacing w:after="0" w:line="240" w:lineRule="auto"/>
        <w:rPr>
          <w:rFonts w:asciiTheme="majorHAnsi" w:hAnsiTheme="majorHAnsi" w:cstheme="majorHAnsi"/>
          <w:color w:val="auto"/>
          <w:szCs w:val="24"/>
        </w:rPr>
      </w:pPr>
    </w:p>
    <w:p w14:paraId="21843F5D"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EB72C9">
      <w:pPr>
        <w:spacing w:after="0" w:line="240" w:lineRule="auto"/>
        <w:rPr>
          <w:rFonts w:asciiTheme="majorHAnsi" w:hAnsiTheme="majorHAnsi" w:cstheme="majorHAnsi"/>
          <w:color w:val="EE0000"/>
          <w:szCs w:val="24"/>
        </w:rPr>
      </w:pPr>
    </w:p>
    <w:p w14:paraId="6084798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EB72C9">
      <w:pPr>
        <w:spacing w:after="0" w:line="240" w:lineRule="auto"/>
        <w:rPr>
          <w:rFonts w:asciiTheme="majorHAnsi" w:hAnsiTheme="majorHAnsi" w:cstheme="majorHAnsi"/>
          <w:szCs w:val="24"/>
        </w:rPr>
      </w:pPr>
    </w:p>
    <w:p w14:paraId="2891AEF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association databases and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015A76F4" w14:textId="77777777" w:rsidR="00EA778E" w:rsidRPr="005345B4" w:rsidRDefault="00EA778E" w:rsidP="00EB72C9">
      <w:pPr>
        <w:spacing w:after="0" w:line="240" w:lineRule="auto"/>
        <w:rPr>
          <w:rFonts w:asciiTheme="majorHAnsi" w:hAnsiTheme="majorHAnsi" w:cstheme="majorHAnsi"/>
          <w:b/>
          <w:bCs/>
          <w:szCs w:val="24"/>
        </w:rPr>
      </w:pPr>
    </w:p>
    <w:p w14:paraId="06920E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EB72C9">
      <w:pPr>
        <w:spacing w:after="0" w:line="240" w:lineRule="auto"/>
        <w:rPr>
          <w:rFonts w:asciiTheme="majorHAnsi" w:hAnsiTheme="majorHAnsi" w:cstheme="majorHAnsi"/>
          <w:b/>
          <w:bCs/>
          <w:szCs w:val="24"/>
        </w:rPr>
      </w:pPr>
    </w:p>
    <w:p w14:paraId="492CD02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refers to the 22,473 source-specific association records, whereas unique canonical gene-RCD pairs refers to the 21,568 distinct gene and RCD entity combinations after deduplication.</w:t>
      </w:r>
    </w:p>
    <w:p w14:paraId="5866D33D" w14:textId="77777777" w:rsidR="00EA778E" w:rsidRPr="005345B4" w:rsidRDefault="00EA778E" w:rsidP="00EB72C9">
      <w:pPr>
        <w:spacing w:after="0" w:line="240" w:lineRule="auto"/>
        <w:rPr>
          <w:rFonts w:asciiTheme="majorHAnsi" w:hAnsiTheme="majorHAnsi" w:cstheme="majorHAnsi"/>
          <w:b/>
          <w:bCs/>
          <w:szCs w:val="24"/>
        </w:rPr>
      </w:pPr>
    </w:p>
    <w:p w14:paraId="7BC2A705"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EB72C9">
      <w:pPr>
        <w:spacing w:after="0" w:line="240" w:lineRule="auto"/>
        <w:rPr>
          <w:rFonts w:asciiTheme="majorHAnsi" w:hAnsiTheme="majorHAnsi" w:cstheme="majorHAnsi"/>
          <w:b/>
          <w:bCs/>
          <w:szCs w:val="24"/>
        </w:rPr>
      </w:pPr>
    </w:p>
    <w:p w14:paraId="71E644F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Two-Call Independent Validation Architecture</w:t>
      </w:r>
    </w:p>
    <w:p w14:paraId="29F1CA0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EB72C9">
      <w:pPr>
        <w:spacing w:after="0" w:line="240" w:lineRule="auto"/>
        <w:rPr>
          <w:rFonts w:asciiTheme="majorHAnsi" w:hAnsiTheme="majorHAnsi" w:cstheme="majorHAnsi"/>
          <w:b/>
          <w:bCs/>
          <w:szCs w:val="24"/>
        </w:rPr>
      </w:pPr>
    </w:p>
    <w:p w14:paraId="1C195E7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EB72C9">
      <w:pPr>
        <w:spacing w:after="0" w:line="240" w:lineRule="auto"/>
        <w:rPr>
          <w:rFonts w:asciiTheme="majorHAnsi" w:hAnsiTheme="majorHAnsi" w:cstheme="majorHAnsi"/>
          <w:b/>
          <w:bCs/>
          <w:szCs w:val="24"/>
        </w:rPr>
      </w:pPr>
    </w:p>
    <w:p w14:paraId="4ECD5DC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EB72C9">
      <w:pPr>
        <w:spacing w:after="0" w:line="240" w:lineRule="auto"/>
        <w:rPr>
          <w:rFonts w:asciiTheme="majorHAnsi" w:hAnsiTheme="majorHAnsi" w:cstheme="majorHAnsi"/>
          <w:b/>
          <w:bCs/>
          <w:szCs w:val="24"/>
        </w:rPr>
      </w:pPr>
    </w:p>
    <w:p w14:paraId="5BDA267F"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EB72C9">
      <w:pPr>
        <w:spacing w:after="0" w:line="240" w:lineRule="auto"/>
        <w:rPr>
          <w:rFonts w:asciiTheme="majorHAnsi" w:hAnsiTheme="majorHAnsi" w:cstheme="majorHAnsi"/>
          <w:szCs w:val="24"/>
        </w:rPr>
      </w:pPr>
    </w:p>
    <w:p w14:paraId="37325F1D"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EB72C9">
      <w:pPr>
        <w:spacing w:after="0" w:line="240" w:lineRule="auto"/>
        <w:rPr>
          <w:rFonts w:asciiTheme="majorHAnsi" w:hAnsiTheme="majorHAnsi" w:cstheme="majorHAnsi"/>
          <w:b/>
          <w:bCs/>
          <w:szCs w:val="24"/>
        </w:rPr>
      </w:pPr>
    </w:p>
    <w:p w14:paraId="657035C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EB72C9">
      <w:pPr>
        <w:spacing w:after="0" w:line="240" w:lineRule="auto"/>
        <w:rPr>
          <w:rFonts w:asciiTheme="majorHAnsi" w:hAnsiTheme="majorHAnsi" w:cstheme="majorHAnsi"/>
          <w:szCs w:val="24"/>
        </w:rPr>
      </w:pPr>
    </w:p>
    <w:p w14:paraId="3CC7535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EB72C9">
      <w:pPr>
        <w:spacing w:after="0" w:line="240" w:lineRule="auto"/>
        <w:rPr>
          <w:rFonts w:asciiTheme="majorHAnsi" w:hAnsiTheme="majorHAnsi" w:cstheme="majorHAnsi"/>
          <w:szCs w:val="24"/>
        </w:rPr>
      </w:pPr>
    </w:p>
    <w:p w14:paraId="119B1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EB72C9">
      <w:pPr>
        <w:spacing w:after="0" w:line="240" w:lineRule="auto"/>
        <w:rPr>
          <w:rFonts w:asciiTheme="majorHAnsi" w:hAnsiTheme="majorHAnsi" w:cstheme="majorHAnsi"/>
          <w:szCs w:val="24"/>
        </w:rPr>
      </w:pPr>
    </w:p>
    <w:p w14:paraId="1D4F5A6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EB72C9">
      <w:pPr>
        <w:spacing w:after="0" w:line="240" w:lineRule="auto"/>
        <w:rPr>
          <w:rFonts w:asciiTheme="majorHAnsi" w:hAnsiTheme="majorHAnsi" w:cstheme="majorHAnsi"/>
          <w:szCs w:val="24"/>
        </w:rPr>
      </w:pPr>
    </w:p>
    <w:p w14:paraId="6BE6601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EB72C9">
      <w:pPr>
        <w:spacing w:after="0" w:line="240" w:lineRule="auto"/>
        <w:rPr>
          <w:rFonts w:asciiTheme="majorHAnsi" w:hAnsiTheme="majorHAnsi" w:cstheme="majorHAnsi"/>
          <w:color w:val="auto"/>
          <w:szCs w:val="24"/>
        </w:rPr>
      </w:pPr>
    </w:p>
    <w:p w14:paraId="5F58BF6E"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w:t>
      </w:r>
      <w:r w:rsidRPr="005345B4">
        <w:rPr>
          <w:rFonts w:asciiTheme="majorHAnsi" w:hAnsiTheme="majorHAnsi" w:cstheme="majorHAnsi"/>
          <w:color w:val="auto"/>
          <w:szCs w:val="24"/>
        </w:rPr>
        <w:lastRenderedPageBreak/>
        <w:t>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EB72C9">
      <w:pPr>
        <w:spacing w:after="0" w:line="240" w:lineRule="auto"/>
        <w:rPr>
          <w:rFonts w:asciiTheme="majorHAnsi" w:hAnsiTheme="majorHAnsi" w:cstheme="majorHAnsi"/>
          <w:szCs w:val="24"/>
        </w:rPr>
      </w:pPr>
    </w:p>
    <w:p w14:paraId="3311054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EB72C9">
      <w:pPr>
        <w:spacing w:after="0" w:line="240" w:lineRule="auto"/>
        <w:rPr>
          <w:rFonts w:asciiTheme="majorHAnsi" w:hAnsiTheme="majorHAnsi" w:cstheme="majorHAnsi"/>
          <w:szCs w:val="24"/>
        </w:rPr>
      </w:pPr>
    </w:p>
    <w:p w14:paraId="34A5723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319,548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EB72C9">
      <w:pPr>
        <w:spacing w:after="0" w:line="240" w:lineRule="auto"/>
        <w:rPr>
          <w:rFonts w:asciiTheme="majorHAnsi" w:hAnsiTheme="majorHAnsi" w:cstheme="majorHAnsi"/>
          <w:szCs w:val="24"/>
        </w:rPr>
      </w:pPr>
    </w:p>
    <w:p w14:paraId="635E86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EB72C9">
      <w:pPr>
        <w:spacing w:after="0" w:line="240" w:lineRule="auto"/>
        <w:rPr>
          <w:rFonts w:asciiTheme="majorHAnsi" w:hAnsiTheme="majorHAnsi" w:cstheme="majorHAnsi"/>
          <w:color w:val="EE0000"/>
          <w:szCs w:val="24"/>
        </w:rPr>
      </w:pPr>
    </w:p>
    <w:p w14:paraId="010AA4D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EB72C9">
      <w:pPr>
        <w:spacing w:after="0" w:line="240" w:lineRule="auto"/>
        <w:rPr>
          <w:rFonts w:asciiTheme="majorHAnsi" w:hAnsiTheme="majorHAnsi" w:cstheme="majorHAnsi"/>
          <w:szCs w:val="24"/>
        </w:rPr>
      </w:pPr>
    </w:p>
    <w:p w14:paraId="263F5F74"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Europe PMC Full-Text Search. Europe PMC indexes both abstracts and full-text articles; Phase 2B queried the Europe PMC full-text index and processed 167,868 open-access full-text articles available for XML-based analysis, enabling retrieval of gene-RCD co-occurrences </w:t>
      </w:r>
      <w:r w:rsidRPr="005345B4">
        <w:rPr>
          <w:rFonts w:asciiTheme="majorHAnsi" w:hAnsiTheme="majorHAnsi" w:cstheme="majorHAnsi"/>
          <w:szCs w:val="24"/>
        </w:rPr>
        <w:lastRenderedPageBreak/>
        <w:t>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EB72C9">
      <w:pPr>
        <w:spacing w:after="0" w:line="240" w:lineRule="auto"/>
        <w:rPr>
          <w:rFonts w:asciiTheme="majorHAnsi" w:hAnsiTheme="majorHAnsi" w:cstheme="majorHAnsi"/>
          <w:szCs w:val="24"/>
        </w:rPr>
      </w:pPr>
    </w:p>
    <w:p w14:paraId="1D783F4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EB72C9">
      <w:pPr>
        <w:spacing w:after="0" w:line="240" w:lineRule="auto"/>
        <w:rPr>
          <w:rFonts w:asciiTheme="majorHAnsi" w:hAnsiTheme="majorHAnsi" w:cstheme="majorHAnsi"/>
          <w:b/>
          <w:szCs w:val="24"/>
        </w:rPr>
      </w:pPr>
    </w:p>
    <w:p w14:paraId="738294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EB72C9">
      <w:pPr>
        <w:spacing w:after="0" w:line="240" w:lineRule="auto"/>
        <w:rPr>
          <w:rFonts w:asciiTheme="majorHAnsi" w:hAnsiTheme="majorHAnsi" w:cstheme="majorHAnsi"/>
          <w:szCs w:val="24"/>
        </w:rPr>
      </w:pPr>
    </w:p>
    <w:p w14:paraId="4692E01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EB72C9">
      <w:pPr>
        <w:spacing w:after="0" w:line="240" w:lineRule="auto"/>
        <w:rPr>
          <w:rFonts w:asciiTheme="majorHAnsi" w:hAnsiTheme="majorHAnsi" w:cstheme="majorHAnsi"/>
          <w:szCs w:val="24"/>
        </w:rPr>
      </w:pPr>
    </w:p>
    <w:p w14:paraId="5943AEE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EB72C9">
      <w:pPr>
        <w:spacing w:after="0" w:line="240" w:lineRule="auto"/>
        <w:rPr>
          <w:rFonts w:asciiTheme="majorHAnsi" w:hAnsiTheme="majorHAnsi" w:cstheme="majorHAnsi"/>
          <w:szCs w:val="24"/>
        </w:rPr>
      </w:pPr>
    </w:p>
    <w:p w14:paraId="05AC3815"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EB72C9">
      <w:pPr>
        <w:spacing w:after="0" w:line="240" w:lineRule="auto"/>
        <w:rPr>
          <w:rFonts w:asciiTheme="majorHAnsi" w:hAnsiTheme="majorHAnsi" w:cstheme="majorHAnsi"/>
          <w:b/>
          <w:bCs/>
          <w:szCs w:val="24"/>
        </w:rPr>
      </w:pPr>
    </w:p>
    <w:p w14:paraId="2DE0303B"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EB72C9">
      <w:pPr>
        <w:spacing w:after="0" w:line="240" w:lineRule="auto"/>
        <w:rPr>
          <w:rFonts w:asciiTheme="majorHAnsi" w:hAnsiTheme="majorHAnsi" w:cstheme="majorHAnsi"/>
          <w:b/>
          <w:bCs/>
          <w:szCs w:val="24"/>
        </w:rPr>
      </w:pPr>
    </w:p>
    <w:p w14:paraId="5C990AA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w:t>
      </w:r>
      <w:r w:rsidRPr="005345B4">
        <w:rPr>
          <w:szCs w:val="24"/>
        </w:rPr>
        <w:lastRenderedPageBreak/>
        <w:t xml:space="preserve">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EB72C9">
      <w:pPr>
        <w:spacing w:after="0" w:line="240" w:lineRule="auto"/>
        <w:rPr>
          <w:rFonts w:asciiTheme="majorHAnsi" w:hAnsiTheme="majorHAnsi" w:cstheme="majorHAnsi"/>
          <w:b/>
          <w:bCs/>
          <w:szCs w:val="24"/>
        </w:rPr>
      </w:pPr>
    </w:p>
    <w:p w14:paraId="11467CF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EB72C9">
      <w:pPr>
        <w:spacing w:after="0" w:line="240" w:lineRule="auto"/>
        <w:rPr>
          <w:rFonts w:asciiTheme="majorHAnsi" w:hAnsiTheme="majorHAnsi" w:cstheme="majorHAnsi"/>
          <w:b/>
          <w:bCs/>
          <w:szCs w:val="24"/>
        </w:rPr>
      </w:pPr>
    </w:p>
    <w:p w14:paraId="29E8CA6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EB72C9">
      <w:pPr>
        <w:spacing w:after="0" w:line="240" w:lineRule="auto"/>
        <w:rPr>
          <w:rFonts w:asciiTheme="majorHAnsi" w:hAnsiTheme="majorHAnsi" w:cstheme="majorHAnsi"/>
          <w:szCs w:val="24"/>
        </w:rPr>
      </w:pPr>
    </w:p>
    <w:p w14:paraId="77F0E86F"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w:t>
      </w:r>
      <w:r w:rsidRPr="005345B4">
        <w:rPr>
          <w:szCs w:val="24"/>
        </w:rPr>
        <w:lastRenderedPageBreak/>
        <w:t xml:space="preserve">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EB72C9">
      <w:pPr>
        <w:spacing w:after="0" w:line="240" w:lineRule="auto"/>
        <w:rPr>
          <w:rFonts w:asciiTheme="majorHAnsi" w:hAnsiTheme="majorHAnsi" w:cstheme="majorHAnsi"/>
          <w:szCs w:val="24"/>
        </w:rPr>
      </w:pPr>
    </w:p>
    <w:p w14:paraId="3D9FEF0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BA1E4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EB72C9">
      <w:pPr>
        <w:spacing w:after="0" w:line="240" w:lineRule="auto"/>
        <w:rPr>
          <w:rFonts w:asciiTheme="majorHAnsi" w:hAnsiTheme="majorHAnsi" w:cstheme="majorHAnsi"/>
          <w:szCs w:val="24"/>
        </w:rPr>
      </w:pPr>
    </w:p>
    <w:p w14:paraId="42C5899F"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EB72C9">
      <w:pPr>
        <w:spacing w:after="0" w:line="240" w:lineRule="auto"/>
        <w:rPr>
          <w:rFonts w:asciiTheme="majorHAnsi" w:hAnsiTheme="majorHAnsi" w:cstheme="majorHAnsi"/>
          <w:szCs w:val="24"/>
        </w:rPr>
      </w:pPr>
    </w:p>
    <w:p w14:paraId="2FB79CA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EB72C9">
      <w:pPr>
        <w:spacing w:after="0" w:line="240" w:lineRule="auto"/>
        <w:rPr>
          <w:rFonts w:asciiTheme="majorHAnsi" w:hAnsiTheme="majorHAnsi" w:cstheme="majorHAnsi"/>
          <w:szCs w:val="24"/>
        </w:rPr>
      </w:pPr>
    </w:p>
    <w:p w14:paraId="02CE0E0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EB72C9">
      <w:pPr>
        <w:spacing w:after="0" w:line="240" w:lineRule="auto"/>
        <w:rPr>
          <w:rFonts w:asciiTheme="majorHAnsi" w:hAnsiTheme="majorHAnsi" w:cstheme="majorHAnsi"/>
          <w:szCs w:val="24"/>
        </w:rPr>
      </w:pPr>
    </w:p>
    <w:p w14:paraId="1B21B452"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w:t>
      </w:r>
      <w:r w:rsidRPr="005345B4">
        <w:rPr>
          <w:rFonts w:asciiTheme="majorHAnsi" w:hAnsiTheme="majorHAnsi" w:cstheme="majorHAnsi"/>
          <w:szCs w:val="24"/>
        </w:rPr>
        <w:lastRenderedPageBreak/>
        <w:t>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EB72C9">
      <w:pPr>
        <w:spacing w:after="0" w:line="240" w:lineRule="auto"/>
        <w:rPr>
          <w:rFonts w:asciiTheme="majorHAnsi" w:hAnsiTheme="majorHAnsi" w:cstheme="majorHAnsi"/>
          <w:szCs w:val="24"/>
        </w:rPr>
      </w:pPr>
    </w:p>
    <w:p w14:paraId="26FA7D9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EB72C9">
      <w:pPr>
        <w:spacing w:after="0" w:line="240" w:lineRule="auto"/>
        <w:rPr>
          <w:rFonts w:asciiTheme="majorHAnsi" w:hAnsiTheme="majorHAnsi" w:cstheme="majorHAnsi"/>
          <w:b/>
          <w:szCs w:val="24"/>
        </w:rPr>
      </w:pPr>
    </w:p>
    <w:p w14:paraId="59E7CF97"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EB72C9">
      <w:pPr>
        <w:spacing w:after="0" w:line="240" w:lineRule="auto"/>
        <w:rPr>
          <w:rFonts w:asciiTheme="majorHAnsi" w:hAnsiTheme="majorHAnsi" w:cstheme="majorHAnsi"/>
          <w:szCs w:val="24"/>
        </w:rPr>
      </w:pPr>
    </w:p>
    <w:p w14:paraId="6B3FA631"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EB72C9">
      <w:pPr>
        <w:spacing w:after="0" w:line="240" w:lineRule="auto"/>
        <w:rPr>
          <w:rFonts w:asciiTheme="majorHAnsi" w:hAnsiTheme="majorHAnsi" w:cstheme="majorHAnsi"/>
          <w:b/>
          <w:szCs w:val="24"/>
        </w:rPr>
      </w:pPr>
    </w:p>
    <w:p w14:paraId="7E3FBD33"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w:t>
      </w:r>
      <w:r w:rsidRPr="005345B4">
        <w:rPr>
          <w:szCs w:val="24"/>
        </w:rPr>
        <w:lastRenderedPageBreak/>
        <w:t xml:space="preserve">(Rule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EB72C9">
      <w:pPr>
        <w:spacing w:after="0" w:line="240" w:lineRule="auto"/>
        <w:rPr>
          <w:rFonts w:asciiTheme="majorHAnsi" w:hAnsiTheme="majorHAnsi" w:cstheme="majorHAnsi"/>
          <w:b/>
          <w:szCs w:val="24"/>
        </w:rPr>
      </w:pPr>
    </w:p>
    <w:p w14:paraId="3330352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EB72C9">
      <w:pPr>
        <w:spacing w:after="0" w:line="240" w:lineRule="auto"/>
        <w:rPr>
          <w:rFonts w:asciiTheme="majorHAnsi" w:hAnsiTheme="majorHAnsi" w:cstheme="majorHAnsi"/>
          <w:b/>
          <w:szCs w:val="24"/>
        </w:rPr>
      </w:pPr>
    </w:p>
    <w:p w14:paraId="6C0FC106"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EB72C9">
      <w:pPr>
        <w:spacing w:after="0" w:line="240" w:lineRule="auto"/>
        <w:rPr>
          <w:rFonts w:asciiTheme="majorHAnsi" w:hAnsiTheme="majorHAnsi" w:cstheme="majorHAnsi"/>
          <w:szCs w:val="24"/>
        </w:rPr>
      </w:pPr>
    </w:p>
    <w:p w14:paraId="76A669AD"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EB72C9">
      <w:pPr>
        <w:spacing w:after="0" w:line="240" w:lineRule="auto"/>
        <w:rPr>
          <w:rFonts w:asciiTheme="majorHAnsi" w:hAnsiTheme="majorHAnsi" w:cstheme="majorHAnsi"/>
          <w:szCs w:val="24"/>
        </w:rPr>
      </w:pPr>
    </w:p>
    <w:p w14:paraId="180D4B3D"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EB72C9">
      <w:pPr>
        <w:spacing w:after="0" w:line="240" w:lineRule="auto"/>
        <w:rPr>
          <w:rFonts w:asciiTheme="majorHAnsi" w:hAnsiTheme="majorHAnsi" w:cstheme="majorHAnsi"/>
          <w:color w:val="EE0000"/>
          <w:szCs w:val="24"/>
        </w:rPr>
      </w:pPr>
    </w:p>
    <w:p w14:paraId="5779E0A3" w14:textId="77777777" w:rsidR="00925876" w:rsidRPr="005345B4" w:rsidRDefault="00921C18" w:rsidP="00EB72C9">
      <w:pPr>
        <w:spacing w:after="0" w:line="240" w:lineRule="auto"/>
        <w:rPr>
          <w:rFonts w:asciiTheme="majorHAnsi" w:hAnsiTheme="majorHAnsi" w:cstheme="majorHAnsi"/>
          <w:szCs w:val="24"/>
        </w:rPr>
      </w:pPr>
      <w:r>
        <w:lastRenderedPageBreak/>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9ABAB06" w14:textId="77777777" w:rsidR="002D15AA" w:rsidRPr="005345B4" w:rsidRDefault="002D15AA" w:rsidP="00EB72C9">
      <w:pPr>
        <w:spacing w:after="0" w:line="240" w:lineRule="auto"/>
        <w:rPr>
          <w:rFonts w:asciiTheme="majorHAnsi" w:hAnsiTheme="majorHAnsi" w:cstheme="majorHAnsi"/>
          <w:szCs w:val="24"/>
        </w:rPr>
      </w:pPr>
    </w:p>
    <w:p w14:paraId="49CCEEE7"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association databases and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association databases and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EB72C9">
      <w:pPr>
        <w:spacing w:after="0" w:line="240" w:lineRule="auto"/>
        <w:rPr>
          <w:rFonts w:asciiTheme="majorHAnsi" w:hAnsiTheme="majorHAnsi" w:cstheme="majorHAnsi"/>
          <w:b/>
          <w:bCs/>
          <w:szCs w:val="24"/>
        </w:rPr>
      </w:pPr>
    </w:p>
    <w:p w14:paraId="5863E97D"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EB72C9">
      <w:pPr>
        <w:spacing w:after="0" w:line="240" w:lineRule="auto"/>
        <w:rPr>
          <w:rFonts w:asciiTheme="majorHAnsi" w:hAnsiTheme="majorHAnsi" w:cstheme="majorHAnsi"/>
          <w:szCs w:val="24"/>
        </w:rPr>
      </w:pPr>
    </w:p>
    <w:p w14:paraId="7984582A"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w:t>
      </w:r>
      <w:r w:rsidRPr="005345B4">
        <w:rPr>
          <w:rFonts w:asciiTheme="majorHAnsi" w:hAnsiTheme="majorHAnsi" w:cstheme="majorHAnsi"/>
          <w:szCs w:val="24"/>
        </w:rPr>
        <w:lastRenderedPageBreak/>
        <w:t>to the corresponding RCD-related entity, while the associated reference record and RIS file were retained as provenance artifacts.</w:t>
      </w:r>
    </w:p>
    <w:p w14:paraId="65374362" w14:textId="77777777" w:rsidR="002D15AA" w:rsidRPr="005345B4" w:rsidRDefault="002D15AA" w:rsidP="00EB72C9">
      <w:pPr>
        <w:spacing w:after="0" w:line="240" w:lineRule="auto"/>
        <w:rPr>
          <w:rFonts w:asciiTheme="majorHAnsi" w:hAnsiTheme="majorHAnsi" w:cstheme="majorHAnsi"/>
          <w:szCs w:val="24"/>
        </w:rPr>
      </w:pPr>
    </w:p>
    <w:p w14:paraId="1420F7D2"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EB72C9">
      <w:pPr>
        <w:spacing w:after="0" w:line="240" w:lineRule="auto"/>
        <w:rPr>
          <w:rFonts w:asciiTheme="majorHAnsi" w:hAnsiTheme="majorHAnsi" w:cstheme="majorHAnsi"/>
          <w:szCs w:val="24"/>
        </w:rPr>
      </w:pPr>
    </w:p>
    <w:p w14:paraId="7878407B"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EB72C9">
      <w:pPr>
        <w:spacing w:after="0" w:line="240" w:lineRule="auto"/>
        <w:rPr>
          <w:rFonts w:asciiTheme="majorHAnsi" w:hAnsiTheme="majorHAnsi" w:cstheme="majorHAnsi"/>
          <w:szCs w:val="24"/>
        </w:rPr>
      </w:pPr>
    </w:p>
    <w:p w14:paraId="3C1F7D14"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EB72C9">
      <w:pPr>
        <w:spacing w:after="0" w:line="240" w:lineRule="auto"/>
        <w:rPr>
          <w:rFonts w:asciiTheme="majorHAnsi" w:hAnsiTheme="majorHAnsi" w:cstheme="majorHAnsi"/>
          <w:szCs w:val="24"/>
        </w:rPr>
      </w:pPr>
    </w:p>
    <w:p w14:paraId="0163F3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the 6 omics annotation resources (TCGA, GEO, CPTAC, CCLE, GDSC, DepMap) and the 2 PPI annotation resources (STRING, BioGRID) are annotation resources, not gene-extraction sources.</w:t>
      </w:r>
    </w:p>
    <w:p w14:paraId="728035AE" w14:textId="77777777" w:rsidR="00925876" w:rsidRPr="005345B4" w:rsidRDefault="00925876" w:rsidP="00EB72C9">
      <w:pPr>
        <w:spacing w:after="0" w:line="240" w:lineRule="auto"/>
        <w:rPr>
          <w:rFonts w:asciiTheme="majorHAnsi" w:hAnsiTheme="majorHAnsi" w:cstheme="majorHAnsi"/>
          <w:szCs w:val="24"/>
        </w:rPr>
      </w:pPr>
    </w:p>
    <w:p w14:paraId="3B9854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EB72C9">
      <w:pPr>
        <w:spacing w:after="0" w:line="240" w:lineRule="auto"/>
        <w:rPr>
          <w:rFonts w:asciiTheme="majorHAnsi" w:hAnsiTheme="majorHAnsi" w:cstheme="majorHAnsi"/>
          <w:szCs w:val="24"/>
        </w:rPr>
      </w:pPr>
    </w:p>
    <w:p w14:paraId="2594A20F" w14:textId="77777777"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EB72C9">
      <w:pPr>
        <w:spacing w:after="0" w:line="240" w:lineRule="auto"/>
        <w:rPr>
          <w:rFonts w:asciiTheme="majorHAnsi" w:hAnsiTheme="majorHAnsi" w:cstheme="majorHAnsi"/>
          <w:b/>
          <w:szCs w:val="24"/>
        </w:rPr>
      </w:pPr>
    </w:p>
    <w:p w14:paraId="6B45E918"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EB72C9">
      <w:pPr>
        <w:spacing w:after="0" w:line="240" w:lineRule="auto"/>
        <w:rPr>
          <w:rFonts w:asciiTheme="majorHAnsi" w:hAnsiTheme="majorHAnsi" w:cstheme="majorHAnsi"/>
          <w:szCs w:val="24"/>
        </w:rPr>
      </w:pPr>
    </w:p>
    <w:p w14:paraId="03EE7F0C"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EB72C9">
      <w:pPr>
        <w:spacing w:after="0" w:line="240" w:lineRule="auto"/>
        <w:rPr>
          <w:rFonts w:asciiTheme="majorHAnsi" w:hAnsiTheme="majorHAnsi" w:cstheme="majorHAnsi"/>
          <w:szCs w:val="24"/>
        </w:rPr>
      </w:pPr>
    </w:p>
    <w:p w14:paraId="00D9E2B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t xml:space="preserve">six omic-annotation resources (TCGA, GEO, CPTAC, CCLE, GDSC, DepMap), supplemented by the AI-assisted Elicit extraction (20 association databases and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EB72C9">
      <w:pPr>
        <w:spacing w:after="0" w:line="240" w:lineRule="auto"/>
        <w:rPr>
          <w:rFonts w:asciiTheme="majorHAnsi" w:hAnsiTheme="majorHAnsi" w:cstheme="majorHAnsi"/>
          <w:b/>
          <w:szCs w:val="24"/>
        </w:rPr>
      </w:pPr>
    </w:p>
    <w:p w14:paraId="1A4FA15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(Figure 3A). Within the compiled RCDome association universe and under the CoT classification, the mechanistically involved set is dominated by regulatory associations surrounding a comparatively small executor subset.</w:t>
      </w:r>
    </w:p>
    <w:p w14:paraId="7BED50A2" w14:textId="77777777" w:rsidR="00D96343" w:rsidRPr="005345B4" w:rsidRDefault="00D96343" w:rsidP="00EB72C9">
      <w:pPr>
        <w:spacing w:after="0" w:line="240" w:lineRule="auto"/>
        <w:rPr>
          <w:rFonts w:asciiTheme="majorHAnsi" w:hAnsiTheme="majorHAnsi" w:cstheme="majorHAnsi"/>
          <w:b/>
          <w:szCs w:val="24"/>
        </w:rPr>
      </w:pPr>
    </w:p>
    <w:p w14:paraId="5A3B425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EB72C9">
      <w:pPr>
        <w:spacing w:after="0" w:line="240" w:lineRule="auto"/>
        <w:rPr>
          <w:rFonts w:asciiTheme="majorHAnsi" w:hAnsiTheme="majorHAnsi" w:cstheme="majorHAnsi"/>
          <w:szCs w:val="24"/>
        </w:rPr>
      </w:pPr>
    </w:p>
    <w:p w14:paraId="3DE2D0C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EB72C9">
      <w:pPr>
        <w:spacing w:after="0" w:line="240" w:lineRule="auto"/>
        <w:rPr>
          <w:rFonts w:asciiTheme="majorHAnsi" w:hAnsiTheme="majorHAnsi" w:cstheme="majorHAnsi"/>
          <w:szCs w:val="24"/>
        </w:rPr>
      </w:pPr>
    </w:p>
    <w:p w14:paraId="2C1E8A29"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2AA700E4" w14:textId="77777777" w:rsidR="004B02F0" w:rsidRPr="005345B4" w:rsidRDefault="004B02F0" w:rsidP="00EB72C9">
      <w:pPr>
        <w:spacing w:after="0" w:line="240" w:lineRule="auto"/>
        <w:rPr>
          <w:rFonts w:asciiTheme="majorHAnsi" w:hAnsiTheme="majorHAnsi" w:cstheme="majorHAnsi"/>
          <w:szCs w:val="24"/>
        </w:rPr>
      </w:pPr>
    </w:p>
    <w:p w14:paraId="63D9F4EE"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drafts — the 19 de novo FOUNDING_DRAFT definitions plus 7 NCCD-verbatim entities with draft complements (subtypes, umbrellas, and legacy terms without a single coining paper), plus one NCCD-locked definition whose draft complement only was unscored, for 27 of the 53 entities. DeepSeek full-text validation of the 33 non-NCCD entities (32 not in the 2018 NCCD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EB72C9">
      <w:pPr>
        <w:spacing w:after="0" w:line="240" w:lineRule="auto"/>
        <w:rPr>
          <w:rFonts w:asciiTheme="majorHAnsi" w:hAnsiTheme="majorHAnsi" w:cstheme="majorHAnsi"/>
          <w:szCs w:val="24"/>
        </w:rPr>
      </w:pPr>
    </w:p>
    <w:p w14:paraId="0E46991A"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EB72C9">
      <w:pPr>
        <w:spacing w:after="0" w:line="240" w:lineRule="auto"/>
        <w:rPr>
          <w:rFonts w:asciiTheme="majorHAnsi" w:hAnsiTheme="majorHAnsi" w:cstheme="majorHAnsi"/>
          <w:szCs w:val="24"/>
        </w:rPr>
      </w:pPr>
    </w:p>
    <w:p w14:paraId="60223FD0"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CF6F8F7" w14:textId="77777777" w:rsidR="004B02F0" w:rsidRPr="005345B4" w:rsidRDefault="004B02F0" w:rsidP="00EB72C9">
      <w:pPr>
        <w:spacing w:after="0" w:line="240" w:lineRule="auto"/>
        <w:rPr>
          <w:rFonts w:asciiTheme="majorHAnsi" w:hAnsiTheme="majorHAnsi" w:cstheme="majorHAnsi"/>
          <w:b/>
          <w:szCs w:val="24"/>
        </w:rPr>
      </w:pPr>
    </w:p>
    <w:p w14:paraId="49B9CC8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Following the consolidation, 35 of 82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w:t>
      </w:r>
      <w:r w:rsidRPr="005345B4">
        <w:rPr>
          <w:szCs w:val="24"/>
        </w:rPr>
        <w:lastRenderedPageBreak/>
        <w:t>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EB72C9">
      <w:pPr>
        <w:spacing w:after="0" w:line="240" w:lineRule="auto"/>
        <w:rPr>
          <w:rFonts w:asciiTheme="majorHAnsi" w:hAnsiTheme="majorHAnsi" w:cstheme="majorHAnsi"/>
          <w:szCs w:val="24"/>
        </w:rPr>
      </w:pPr>
    </w:p>
    <w:p w14:paraId="3EA3686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validated through a two-call LLM architecture against PubMed abstracts.</w:t>
      </w:r>
    </w:p>
    <w:p w14:paraId="1D76B655" w14:textId="77777777" w:rsidR="00EA778E" w:rsidRPr="005345B4" w:rsidRDefault="00EA778E" w:rsidP="00EB72C9">
      <w:pPr>
        <w:spacing w:after="0" w:line="240" w:lineRule="auto"/>
        <w:rPr>
          <w:rFonts w:asciiTheme="majorHAnsi" w:hAnsiTheme="majorHAnsi" w:cstheme="majorHAnsi"/>
          <w:szCs w:val="24"/>
        </w:rPr>
      </w:pPr>
    </w:p>
    <w:p w14:paraId="6E3D9F1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EB72C9">
      <w:pPr>
        <w:spacing w:after="0" w:line="240" w:lineRule="auto"/>
        <w:rPr>
          <w:rFonts w:asciiTheme="majorHAnsi" w:hAnsiTheme="majorHAnsi" w:cstheme="majorHAnsi"/>
          <w:b/>
          <w:szCs w:val="24"/>
        </w:rPr>
      </w:pPr>
    </w:p>
    <w:p w14:paraId="0D15D87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121E2B9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98200B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EB72C9">
      <w:pPr>
        <w:spacing w:after="0" w:line="240" w:lineRule="auto"/>
        <w:rPr>
          <w:rFonts w:asciiTheme="majorHAnsi" w:hAnsiTheme="majorHAnsi" w:cstheme="majorHAnsi"/>
          <w:b/>
          <w:szCs w:val="24"/>
        </w:rPr>
      </w:pPr>
    </w:p>
    <w:p w14:paraId="53227D5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Mechanistic Classification</w:t>
      </w:r>
    </w:p>
    <w:p w14:paraId="6D2ED9B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63A916" w14:textId="77777777" w:rsidR="008D753D" w:rsidRDefault="00000000" w:rsidP="00EB72C9">
      <w:pPr>
        <w:spacing w:after="0" w:line="240" w:lineRule="auto"/>
      </w:pPr>
      <w:r>
        <w:t>Two numbers describe mechanism and are not interchangeable. The chain-of-thought classification labels a pair mechanistically involved when the model and the evidence agree, giving 45.4%. The stricter seven-class scheme reserves the label MECHANISTIC for rows 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3F5A75D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rows (13.6%), validated by both LLM knowledge and PubMed abstracts</w:t>
      </w:r>
    </w:p>
    <w:p w14:paraId="0C68034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p>
    <w:p w14:paraId="0D51FDBB" w14:textId="77777777" w:rsidR="00EA778E" w:rsidRPr="005345B4" w:rsidRDefault="00EA778E" w:rsidP="00EB72C9">
      <w:pPr>
        <w:spacing w:after="0" w:line="240" w:lineRule="auto"/>
        <w:rPr>
          <w:rFonts w:asciiTheme="majorHAnsi" w:hAnsiTheme="majorHAnsi" w:cstheme="majorHAnsi"/>
          <w:szCs w:val="24"/>
        </w:rPr>
      </w:pPr>
    </w:p>
    <w:p w14:paraId="1D7FA0FD"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444FCA4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EB72C9">
      <w:pPr>
        <w:spacing w:after="0" w:line="240" w:lineRule="auto"/>
        <w:rPr>
          <w:rFonts w:asciiTheme="majorHAnsi" w:hAnsiTheme="majorHAnsi" w:cstheme="majorHAnsi"/>
          <w:szCs w:val="24"/>
        </w:rPr>
      </w:pPr>
    </w:p>
    <w:p w14:paraId="2A6E7BCD"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EB72C9">
      <w:pPr>
        <w:spacing w:after="0" w:line="240" w:lineRule="auto"/>
        <w:rPr>
          <w:rFonts w:asciiTheme="majorHAnsi" w:hAnsiTheme="majorHAnsi" w:cstheme="majorHAnsi"/>
          <w:b/>
          <w:szCs w:val="24"/>
        </w:rPr>
      </w:pPr>
    </w:p>
    <w:p w14:paraId="149174FE"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EB72C9">
      <w:pPr>
        <w:spacing w:after="0" w:line="240" w:lineRule="auto"/>
        <w:rPr>
          <w:rFonts w:asciiTheme="majorHAnsi" w:hAnsiTheme="majorHAnsi" w:cstheme="majorHAnsi"/>
          <w:iCs/>
          <w:szCs w:val="24"/>
        </w:rPr>
      </w:pPr>
    </w:p>
    <w:p w14:paraId="793ADC30"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EB72C9">
      <w:pPr>
        <w:spacing w:after="0" w:line="240" w:lineRule="auto"/>
        <w:rPr>
          <w:rFonts w:asciiTheme="majorHAnsi" w:hAnsiTheme="majorHAnsi" w:cstheme="majorHAnsi"/>
          <w:b/>
          <w:szCs w:val="24"/>
        </w:rPr>
      </w:pPr>
    </w:p>
    <w:p w14:paraId="384FCF28"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EB72C9">
      <w:pPr>
        <w:spacing w:after="0" w:line="240" w:lineRule="auto"/>
        <w:rPr>
          <w:rFonts w:asciiTheme="majorHAnsi" w:hAnsiTheme="majorHAnsi" w:cstheme="majorHAnsi"/>
          <w:b/>
          <w:color w:val="EE0000"/>
          <w:szCs w:val="24"/>
        </w:rPr>
      </w:pPr>
    </w:p>
    <w:p w14:paraId="4F01BE6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EB72C9">
      <w:pPr>
        <w:spacing w:after="0" w:line="240" w:lineRule="auto"/>
        <w:rPr>
          <w:rFonts w:asciiTheme="majorHAnsi" w:hAnsiTheme="majorHAnsi" w:cstheme="majorHAnsi"/>
          <w:szCs w:val="24"/>
        </w:rPr>
      </w:pPr>
    </w:p>
    <w:p w14:paraId="1FAE017D"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17BEC2D" w14:textId="77777777" w:rsidR="00EA778E" w:rsidRPr="005345B4" w:rsidRDefault="00EA778E" w:rsidP="00EB72C9">
      <w:pPr>
        <w:spacing w:after="0" w:line="240" w:lineRule="auto"/>
        <w:rPr>
          <w:rFonts w:asciiTheme="majorHAnsi" w:hAnsiTheme="majorHAnsi" w:cstheme="majorHAnsi"/>
          <w:b/>
          <w:szCs w:val="24"/>
        </w:rPr>
      </w:pPr>
    </w:p>
    <w:p w14:paraId="3A207D66"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EB72C9">
      <w:pPr>
        <w:spacing w:after="0" w:line="240" w:lineRule="auto"/>
        <w:rPr>
          <w:rFonts w:asciiTheme="majorHAnsi" w:hAnsiTheme="majorHAnsi" w:cstheme="majorHAnsi"/>
          <w:b/>
          <w:szCs w:val="24"/>
        </w:rPr>
      </w:pPr>
    </w:p>
    <w:p w14:paraId="0278764D"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w:t>
      </w:r>
      <w:r w:rsidRPr="005345B4">
        <w:rPr>
          <w:rFonts w:asciiTheme="majorHAnsi" w:hAnsiTheme="majorHAnsi" w:cstheme="majorHAnsi"/>
          <w:szCs w:val="24"/>
        </w:rPr>
        <w:lastRenderedPageBreak/>
        <w:t>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EB72C9">
      <w:pPr>
        <w:spacing w:after="0" w:line="240" w:lineRule="auto"/>
        <w:rPr>
          <w:rFonts w:asciiTheme="majorHAnsi" w:hAnsiTheme="majorHAnsi" w:cstheme="majorHAnsi"/>
          <w:szCs w:val="24"/>
        </w:rPr>
      </w:pPr>
    </w:p>
    <w:p w14:paraId="75735F09"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EB72C9">
      <w:pPr>
        <w:spacing w:after="0" w:line="240" w:lineRule="auto"/>
        <w:rPr>
          <w:rFonts w:asciiTheme="majorHAnsi" w:hAnsiTheme="majorHAnsi" w:cstheme="majorHAnsi"/>
          <w:szCs w:val="24"/>
        </w:rPr>
      </w:pPr>
    </w:p>
    <w:p w14:paraId="54BFD116"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EB72C9">
      <w:pPr>
        <w:spacing w:after="0" w:line="240" w:lineRule="auto"/>
        <w:rPr>
          <w:rFonts w:asciiTheme="majorHAnsi" w:hAnsiTheme="majorHAnsi" w:cstheme="majorHAnsi"/>
          <w:szCs w:val="24"/>
        </w:rPr>
      </w:pPr>
    </w:p>
    <w:p w14:paraId="6F41C69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EB72C9">
      <w:pPr>
        <w:spacing w:after="0" w:line="240" w:lineRule="auto"/>
        <w:rPr>
          <w:rFonts w:asciiTheme="majorHAnsi" w:hAnsiTheme="majorHAnsi" w:cstheme="majorHAnsi"/>
          <w:szCs w:val="24"/>
        </w:rPr>
      </w:pPr>
    </w:p>
    <w:p w14:paraId="5F1EA4A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EB72C9">
      <w:pPr>
        <w:spacing w:after="0" w:line="240" w:lineRule="auto"/>
        <w:rPr>
          <w:rFonts w:asciiTheme="majorHAnsi" w:hAnsiTheme="majorHAnsi" w:cstheme="majorHAnsi"/>
          <w:szCs w:val="24"/>
        </w:rPr>
      </w:pPr>
    </w:p>
    <w:p w14:paraId="256055D1"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EB72C9">
      <w:pPr>
        <w:spacing w:after="0" w:line="240" w:lineRule="auto"/>
        <w:rPr>
          <w:rFonts w:asciiTheme="majorHAnsi" w:hAnsiTheme="majorHAnsi" w:cstheme="majorHAnsi"/>
          <w:szCs w:val="24"/>
        </w:rPr>
      </w:pPr>
    </w:p>
    <w:p w14:paraId="6901A3A2"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7EEF7A27" w14:textId="77777777" w:rsidR="00EA778E" w:rsidRPr="005345B4" w:rsidRDefault="00EA778E" w:rsidP="00EB72C9">
      <w:pPr>
        <w:spacing w:after="0" w:line="240" w:lineRule="auto"/>
        <w:rPr>
          <w:rFonts w:asciiTheme="majorHAnsi" w:hAnsiTheme="majorHAnsi" w:cstheme="majorHAnsi"/>
          <w:szCs w:val="24"/>
        </w:rPr>
      </w:pPr>
    </w:p>
    <w:p w14:paraId="442E377C"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w:t>
      </w:r>
      <w:r w:rsidRPr="005345B4">
        <w:rPr>
          <w:szCs w:val="24"/>
        </w:rPr>
        <w:lastRenderedPageBreak/>
        <w:t>engine for the full 22K-pair matrix. Structured-output mode (guaranteed JSON) was also adopted across the extraction pipeline to eliminate parsing failures.</w:t>
      </w:r>
    </w:p>
    <w:p w14:paraId="3C1359B4"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EB72C9">
      <w:pPr>
        <w:spacing w:after="0" w:line="240" w:lineRule="auto"/>
        <w:rPr>
          <w:rFonts w:asciiTheme="majorHAnsi" w:hAnsiTheme="majorHAnsi" w:cstheme="majorHAnsi"/>
          <w:b/>
          <w:color w:val="EE0000"/>
          <w:szCs w:val="24"/>
        </w:rPr>
      </w:pPr>
    </w:p>
    <w:p w14:paraId="3A32EEB9" w14:textId="77777777" w:rsidR="00C73316" w:rsidRPr="00F62906"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Chain-of-Thought Classification of the Full Matrix.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EB72C9">
      <w:pPr>
        <w:spacing w:after="0" w:line="240" w:lineRule="auto"/>
        <w:rPr>
          <w:rFonts w:asciiTheme="majorHAnsi" w:hAnsiTheme="majorHAnsi" w:cstheme="majorHAnsi"/>
          <w:szCs w:val="24"/>
        </w:rPr>
      </w:pPr>
    </w:p>
    <w:p w14:paraId="59F25E5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5,035, PROTECTS for 4,755, and UNCLEAR for 5,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21.6% (XDeathDB) to 86.5% (WikiPathways) (Supplementary Figure S3).</w:t>
      </w:r>
    </w:p>
    <w:p w14:paraId="42193C5E" w14:textId="77777777" w:rsidR="004B02F0" w:rsidRPr="005345B4" w:rsidRDefault="004B02F0" w:rsidP="00EB72C9">
      <w:pPr>
        <w:spacing w:after="0" w:line="240" w:lineRule="auto"/>
        <w:rPr>
          <w:rFonts w:asciiTheme="majorHAnsi" w:hAnsiTheme="majorHAnsi" w:cstheme="majorHAnsi"/>
          <w:szCs w:val="24"/>
        </w:rPr>
      </w:pPr>
    </w:p>
    <w:p w14:paraId="5D2DAE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(NLRX1 and PPIF with MPT-driven necrosis) were classified separately with a five-vote majority, completing full pair coverage (21,568/21,568).</w:t>
      </w:r>
    </w:p>
    <w:p w14:paraId="3C7B02A3" w14:textId="77777777" w:rsidR="00871F46" w:rsidRPr="005345B4" w:rsidRDefault="00871F46" w:rsidP="00EB72C9">
      <w:pPr>
        <w:spacing w:after="0" w:line="240" w:lineRule="auto"/>
        <w:rPr>
          <w:rFonts w:asciiTheme="majorHAnsi" w:hAnsiTheme="majorHAnsi" w:cstheme="majorHAnsi"/>
          <w:b/>
          <w:color w:val="EE0000"/>
          <w:szCs w:val="24"/>
        </w:rPr>
      </w:pPr>
    </w:p>
    <w:p w14:paraId="5620FFDB"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B0449D4"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w:t>
      </w:r>
      <w:r w:rsidRPr="005345B4">
        <w:rPr>
          <w:rFonts w:asciiTheme="majorHAnsi" w:hAnsiTheme="majorHAnsi" w:cstheme="majorHAnsi"/>
          <w:szCs w:val="24"/>
        </w:rPr>
        <w:lastRenderedPageBreak/>
        <w:t>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E91189D" w14:textId="77777777" w:rsidR="00D11423" w:rsidRPr="005345B4" w:rsidRDefault="00D11423" w:rsidP="00EB72C9">
      <w:pPr>
        <w:spacing w:after="0" w:line="240" w:lineRule="auto"/>
        <w:rPr>
          <w:rFonts w:asciiTheme="majorHAnsi" w:hAnsiTheme="majorHAnsi" w:cstheme="majorHAnsi"/>
          <w:szCs w:val="24"/>
        </w:rPr>
      </w:pPr>
    </w:p>
    <w:p w14:paraId="1F6A2DA2" w14:textId="77777777" w:rsidR="00FD2A2E" w:rsidRPr="005345B4" w:rsidRDefault="00000000" w:rsidP="00EB72C9">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83-column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hyperlink r:id="rId41" w:history="1">
        <w:r w:rsidR="00CA0E91" w:rsidRPr="00933813">
          <w:rPr>
            <w:rStyle w:val="Hyperlink"/>
          </w:rPr>
          <w:t>https://github.com/BioCancerInformatics/RCDome</w:t>
        </w:r>
      </w:hyperlink>
      <w:r w:rsidR="00CA0E91"/>
      <w:r/>
    </w:p>
    <w:p w14:paraId="47655739" w14:textId="77777777" w:rsidR="00965AE2" w:rsidRDefault="00000000">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14:paraId="15D00877" w14:textId="77777777" w:rsidR="00965AE2" w:rsidRDefault="00000000">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14:paraId="68E18024" w14:textId="77777777" w:rsidR="00965AE2" w:rsidRDefault="00000000">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DFDC6C9" w14:textId="77777777" w:rsidR="004B02F0" w:rsidRPr="005345B4" w:rsidRDefault="004B02F0" w:rsidP="00EB72C9">
      <w:pPr>
        <w:spacing w:after="0" w:line="240" w:lineRule="auto"/>
        <w:rPr>
          <w:rFonts w:asciiTheme="majorHAnsi" w:hAnsiTheme="majorHAnsi" w:cstheme="majorHAnsi"/>
          <w:szCs w:val="24"/>
        </w:rPr>
      </w:pPr>
    </w:p>
    <w:p w14:paraId="7BBFE176"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nine data modules, Operational Definitions, Compare Definitions, RCD entities, Gene Catalog, Discrepancy Radar, Discovery Timeline, 3D RCDome, the Digital Molecular RCD Board, and Network, are exposed as cards on the Home page, with the interactive dome as the primary entry point.</w:t>
      </w:r>
    </w:p>
    <w:p w14:paraId="0B3960E9" w14:textId="77777777" w:rsidR="004B02F0" w:rsidRPr="005345B4" w:rsidRDefault="004B02F0" w:rsidP="00EB72C9">
      <w:pPr>
        <w:spacing w:after="0" w:line="240" w:lineRule="auto"/>
        <w:rPr>
          <w:rFonts w:asciiTheme="majorHAnsi" w:hAnsiTheme="majorHAnsi" w:cstheme="majorHAnsi"/>
          <w:szCs w:val="24"/>
        </w:rPr>
      </w:pPr>
    </w:p>
    <w:p w14:paraId="334773A2"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w:t>
      </w:r>
      <w:r w:rsidRPr="005345B4">
        <w:rPr>
          <w:rFonts w:asciiTheme="majorHAnsi" w:hAnsiTheme="majorHAnsi" w:cstheme="majorHAnsi"/>
          <w:szCs w:val="24"/>
        </w:rPr>
        <w:lastRenderedPageBreak/>
        <w:t xml:space="preserve">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572BCF0A" w14:textId="77777777" w:rsidR="000B2C2A" w:rsidRPr="005345B4" w:rsidRDefault="000B2C2A" w:rsidP="00EB72C9">
      <w:pPr>
        <w:spacing w:after="0" w:line="240" w:lineRule="auto"/>
        <w:rPr>
          <w:rFonts w:asciiTheme="majorHAnsi" w:hAnsiTheme="majorHAnsi" w:cstheme="majorHAnsi"/>
          <w:b/>
          <w:szCs w:val="24"/>
        </w:rPr>
      </w:pPr>
    </w:p>
    <w:p w14:paraId="46B28D85"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AEC0DD1" w14:textId="77777777" w:rsidR="00257B78" w:rsidRPr="005345B4" w:rsidRDefault="00257B78" w:rsidP="00EB72C9">
      <w:pPr>
        <w:spacing w:after="0" w:line="240" w:lineRule="auto"/>
        <w:rPr>
          <w:rFonts w:asciiTheme="majorHAnsi" w:hAnsiTheme="majorHAnsi" w:cstheme="majorHAnsi"/>
          <w:b/>
          <w:szCs w:val="24"/>
        </w:rPr>
      </w:pPr>
    </w:p>
    <w:p w14:paraId="5CDAF75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74FE4C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F0973A6" w14:textId="77777777" w:rsidR="000B2C2A" w:rsidRPr="005345B4" w:rsidRDefault="000B2C2A" w:rsidP="00EB72C9">
      <w:pPr>
        <w:spacing w:after="0" w:line="240" w:lineRule="auto"/>
        <w:rPr>
          <w:rFonts w:asciiTheme="majorHAnsi" w:hAnsiTheme="majorHAnsi" w:cstheme="majorHAnsi"/>
          <w:b/>
          <w:color w:val="EE0000"/>
          <w:szCs w:val="24"/>
        </w:rPr>
      </w:pPr>
    </w:p>
    <w:p w14:paraId="18A685B8"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EB72C9">
      <w:pPr>
        <w:spacing w:after="0" w:line="240" w:lineRule="auto"/>
        <w:rPr>
          <w:rFonts w:asciiTheme="majorHAnsi" w:hAnsiTheme="majorHAnsi" w:cstheme="majorHAnsi"/>
          <w:szCs w:val="24"/>
        </w:rPr>
      </w:pPr>
    </w:p>
    <w:p w14:paraId="5D00C5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EB72C9">
      <w:pPr>
        <w:spacing w:after="0" w:line="240" w:lineRule="auto"/>
        <w:rPr>
          <w:rFonts w:asciiTheme="majorHAnsi" w:hAnsiTheme="majorHAnsi" w:cstheme="majorHAnsi"/>
          <w:szCs w:val="24"/>
        </w:rPr>
      </w:pPr>
    </w:p>
    <w:p w14:paraId="62DF8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EB72C9">
      <w:pPr>
        <w:spacing w:after="0" w:line="240" w:lineRule="auto"/>
        <w:rPr>
          <w:rFonts w:asciiTheme="majorHAnsi" w:hAnsiTheme="majorHAnsi" w:cstheme="majorHAnsi"/>
          <w:szCs w:val="24"/>
        </w:rPr>
      </w:pPr>
    </w:p>
    <w:p w14:paraId="24CC4608"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EB72C9">
      <w:pPr>
        <w:spacing w:after="0" w:line="240" w:lineRule="auto"/>
        <w:rPr>
          <w:rFonts w:asciiTheme="majorHAnsi" w:hAnsiTheme="majorHAnsi" w:cstheme="majorHAnsi"/>
          <w:szCs w:val="24"/>
        </w:rPr>
      </w:pPr>
    </w:p>
    <w:p w14:paraId="6D5185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EB72C9">
      <w:pPr>
        <w:spacing w:after="0" w:line="240" w:lineRule="auto"/>
        <w:rPr>
          <w:rFonts w:asciiTheme="majorHAnsi" w:hAnsiTheme="majorHAnsi" w:cstheme="majorHAnsi"/>
          <w:szCs w:val="24"/>
        </w:rPr>
      </w:pPr>
    </w:p>
    <w:p w14:paraId="21F330C8"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association databases and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EB72C9">
      <w:pPr>
        <w:spacing w:after="0" w:line="240" w:lineRule="auto"/>
        <w:rPr>
          <w:rFonts w:asciiTheme="majorHAnsi" w:hAnsiTheme="majorHAnsi" w:cstheme="majorHAnsi"/>
          <w:szCs w:val="24"/>
        </w:rPr>
      </w:pPr>
    </w:p>
    <w:p w14:paraId="528949DE"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EB72C9">
      <w:pPr>
        <w:spacing w:after="0" w:line="240" w:lineRule="auto"/>
        <w:rPr>
          <w:rFonts w:asciiTheme="majorHAnsi" w:hAnsiTheme="majorHAnsi" w:cstheme="majorHAnsi"/>
          <w:szCs w:val="24"/>
        </w:rPr>
      </w:pPr>
    </w:p>
    <w:p w14:paraId="7262CB5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469 gene-RCD pairs (4.8% of the mechanistically-involved set) are executors, the genes that directly pore, cleave, or permeabilize to kill the cell. Among the mechanistically involved pairs classified in RCDome, 9,311 (95.2%) were regulators that promote or inhibit death without executing it. Within the compiled RCDome association universe and under the CoT classification, the mechanistically involved set is dominated by regulatory associations surrounding a comparatively small executor subset (Figure 3A).</w:t>
      </w:r>
    </w:p>
    <w:p w14:paraId="68B44980" w14:textId="77777777" w:rsidR="00897A3F" w:rsidRPr="005345B4" w:rsidRDefault="00897A3F" w:rsidP="00EB72C9">
      <w:pPr>
        <w:spacing w:after="0" w:line="240" w:lineRule="auto"/>
        <w:rPr>
          <w:rFonts w:asciiTheme="majorHAnsi" w:hAnsiTheme="majorHAnsi" w:cstheme="majorHAnsi"/>
          <w:szCs w:val="24"/>
        </w:rPr>
      </w:pPr>
    </w:p>
    <w:p w14:paraId="6774A9B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(Figure 3B). </w:t>
      </w:r>
      <w:r w:rsidRPr="005345B4">
        <w:rPr>
          <w:rFonts w:asciiTheme="majorHAnsi" w:hAnsiTheme="majorHAnsi" w:cstheme="majorHAnsi"/>
          <w:szCs w:val="24"/>
        </w:rPr>
        <w:lastRenderedPageBreak/>
        <w:t>This stratification is biologically informative, but it should not be read as an independent validation of the ontology: L1 was defined precisely to concentrate mechanistic forms, so a higher mechanistic fraction in L1 is in part expected by construction.</w:t>
      </w:r>
    </w:p>
    <w:p w14:paraId="01A08344" w14:textId="77777777" w:rsidR="004B02F0" w:rsidRPr="005345B4" w:rsidRDefault="004B02F0" w:rsidP="00EB72C9">
      <w:pPr>
        <w:spacing w:after="0" w:line="240" w:lineRule="auto"/>
        <w:rPr>
          <w:rFonts w:asciiTheme="majorHAnsi" w:hAnsiTheme="majorHAnsi" w:cstheme="majorHAnsi"/>
          <w:szCs w:val="24"/>
        </w:rPr>
      </w:pPr>
    </w:p>
    <w:p w14:paraId="05D885BF"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5,035 promoters (10 pairs pending human curator verdicts) versus 4,755 protectors (across all role-resolved associations), consistent with death as a decision that cells weigh in both directions, not a one-way cascade. And 62.9%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EB72C9">
      <w:pPr>
        <w:spacing w:after="0" w:line="240" w:lineRule="auto"/>
        <w:rPr>
          <w:rFonts w:asciiTheme="majorHAnsi" w:hAnsiTheme="majorHAnsi" w:cstheme="majorHAnsi"/>
          <w:b/>
          <w:szCs w:val="24"/>
        </w:rPr>
      </w:pPr>
    </w:p>
    <w:p w14:paraId="49D8981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DeepSeek run classified all 21,568 pairs: 9,785 (45.4%) mechanistically involved and 11,783 (54.6%) not, with 469 executors and 9,311 regulators. The RCDome interface exposes these side by side through a source selector, and a researcher can extract the filtered table, the complete 83-column matrix, the per-entity comparison, or the 469-pair death core for their own work.</w:t>
      </w:r>
    </w:p>
    <w:p w14:paraId="0B4BFDD8" w14:textId="77777777" w:rsidR="004B02F0" w:rsidRPr="005345B4" w:rsidRDefault="004B02F0" w:rsidP="00EB72C9">
      <w:pPr>
        <w:spacing w:after="0" w:line="240" w:lineRule="auto"/>
        <w:rPr>
          <w:rFonts w:asciiTheme="majorHAnsi" w:hAnsiTheme="majorHAnsi" w:cstheme="majorHAnsi"/>
          <w:szCs w:val="24"/>
        </w:rPr>
      </w:pPr>
    </w:p>
    <w:p w14:paraId="7D55F399"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EB72C9">
      <w:pPr>
        <w:spacing w:after="0" w:line="240" w:lineRule="auto"/>
        <w:rPr>
          <w:rFonts w:asciiTheme="majorHAnsi" w:hAnsiTheme="majorHAnsi" w:cstheme="majorHAnsi"/>
          <w:szCs w:val="24"/>
        </w:rPr>
      </w:pPr>
    </w:p>
    <w:p w14:paraId="7634B59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EB72C9">
      <w:pPr>
        <w:spacing w:after="0" w:line="240" w:lineRule="auto"/>
        <w:rPr>
          <w:rFonts w:asciiTheme="majorHAnsi" w:hAnsiTheme="majorHAnsi" w:cstheme="majorHAnsi"/>
          <w:b/>
          <w:szCs w:val="24"/>
        </w:rPr>
      </w:pPr>
    </w:p>
    <w:p w14:paraId="092B1A4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EB72C9">
      <w:pPr>
        <w:spacing w:after="0" w:line="240" w:lineRule="auto"/>
        <w:rPr>
          <w:rFonts w:asciiTheme="majorHAnsi" w:hAnsiTheme="majorHAnsi" w:cstheme="majorHAnsi"/>
          <w:szCs w:val="24"/>
        </w:rPr>
      </w:pPr>
    </w:p>
    <w:p w14:paraId="3B726E86"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EB72C9">
      <w:pPr>
        <w:spacing w:after="0" w:line="240" w:lineRule="auto"/>
        <w:rPr>
          <w:rFonts w:asciiTheme="majorHAnsi" w:hAnsiTheme="majorHAnsi" w:cstheme="majorHAnsi"/>
          <w:szCs w:val="24"/>
        </w:rPr>
      </w:pPr>
    </w:p>
    <w:p w14:paraId="12AD7D2C"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EB72C9">
      <w:pPr>
        <w:spacing w:after="0" w:line="240" w:lineRule="auto"/>
        <w:rPr>
          <w:rFonts w:asciiTheme="majorHAnsi" w:hAnsiTheme="majorHAnsi" w:cstheme="majorHAnsi"/>
          <w:b/>
          <w:szCs w:val="24"/>
        </w:rPr>
      </w:pPr>
    </w:p>
    <w:p w14:paraId="544C5BCD"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EB72C9">
      <w:pPr>
        <w:spacing w:after="0" w:line="240" w:lineRule="auto"/>
        <w:rPr>
          <w:rFonts w:asciiTheme="majorHAnsi" w:hAnsiTheme="majorHAnsi" w:cstheme="majorHAnsi"/>
          <w:b/>
          <w:szCs w:val="24"/>
        </w:rPr>
      </w:pPr>
    </w:p>
    <w:p w14:paraId="6698A1C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2026-10-15; ): forms named after the freeze (e.g., ruptosis, 2026) or described only in non-human systems are documented as explicit exclusions in the Methods rather than silently omitted from the 53-entity vocabulary.</w:t>
      </w:r>
    </w:p>
    <w:p w14:paraId="292D01C7" w14:textId="77777777" w:rsidR="000B2C2A" w:rsidRPr="005345B4" w:rsidRDefault="000B2C2A" w:rsidP="00EB72C9">
      <w:pPr>
        <w:spacing w:after="0" w:line="240" w:lineRule="auto"/>
        <w:rPr>
          <w:rFonts w:asciiTheme="majorHAnsi" w:hAnsiTheme="majorHAnsi" w:cstheme="majorHAnsi"/>
          <w:b/>
          <w:szCs w:val="24"/>
        </w:rPr>
      </w:pPr>
    </w:p>
    <w:p w14:paraId="3EA9F86C"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EB72C9">
      <w:pPr>
        <w:spacing w:after="0" w:line="240" w:lineRule="auto"/>
        <w:rPr>
          <w:rFonts w:asciiTheme="majorHAnsi" w:hAnsiTheme="majorHAnsi" w:cstheme="majorHAnsi"/>
          <w:b/>
          <w:bCs/>
          <w:szCs w:val="24"/>
        </w:rPr>
      </w:pPr>
    </w:p>
    <w:p w14:paraId="0585F938"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7FB69402" w14:textId="77777777" w:rsidR="00F96826" w:rsidRPr="005345B4" w:rsidRDefault="00F96826" w:rsidP="00EB72C9">
      <w:pPr>
        <w:spacing w:after="0" w:line="240" w:lineRule="auto"/>
        <w:rPr>
          <w:rFonts w:asciiTheme="majorHAnsi" w:hAnsiTheme="majorHAnsi" w:cstheme="majorHAnsi"/>
          <w:szCs w:val="24"/>
        </w:rPr>
      </w:pPr>
      <w:r>
        <w:t>The RCDome compendium matrix (Dataset S1; 22,473 rows × 83 columns; freeze date 2026-10-15), extraction pipeline, and the RCDome web application source code are available at https://github.com/BioCancerInformatics/RCDome. The 20 association databases and resources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(21 of the 43 scripts in the full pipeline catalog, Table S10),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https://github.com/BioCancerInformatics/RCDomehttps://github.com/BioCancerInformatics/RCDome</w:t>
      </w:r>
      <w:r/>
      <w:hyperlink r:id="rId42" w:history="1">
        <w:r w:rsidR="00CA0E91" w:rsidRPr="00933813">
          <w:rPr>
            <w:rStyle w:val="Hyperlink"/>
          </w:rPr>
          <w:t>https://github.com/BioCancerInformatics/RCDome</w:t>
        </w:r>
      </w:hyperlink>
      <w:hyperlink r:id="rId43" w:history="1">
        <w:r w:rsidR="00CA0E91" w:rsidRPr="00933813">
          <w:rPr>
            <w:rStyle w:val="Hyperlink"/>
          </w:rPr>
          <w:t>https://github.com/BioCancerInformatics/RCDome</w:t>
        </w:r>
      </w:hyperlink>
    </w:p>
    <w:p w14:paraId="1A59198C"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6735DD68"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and edited the manuscript.</w:t>
      </w:r>
    </w:p>
    <w:p w14:paraId="42AC3165"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drafted the manuscript, generated the figures, and approved the final version. </w:t>
      </w:r>
    </w:p>
    <w:p w14:paraId="24DC6F07"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EB72C9">
      <w:pPr>
        <w:spacing w:after="0" w:line="240" w:lineRule="auto"/>
      </w:pPr>
      <w:r w:rsidRPr="005345B4">
        <w:rPr>
          <w:b/>
        </w:rPr>
        <w:t>Acknowledgements</w:t>
      </w:r>
    </w:p>
    <w:p w14:paraId="6453A135"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b/>
      </w:r>
    </w:p>
    <w:p w14:paraId="2846DC27" w14:textId="77777777" w:rsidR="00F561E3" w:rsidRPr="005345B4" w:rsidRDefault="00000000" w:rsidP="00EB72C9">
      <w:pPr>
        <w:spacing w:after="0" w:line="240" w:lineRule="auto"/>
      </w:pPr>
      <w:r w:rsidRPr="005345B4">
        <w:rPr>
          <w:b/>
        </w:rPr>
        <w:t>Generative AI Statement</w:t>
      </w:r>
    </w:p>
    <w:p w14:paraId="417895C4"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EB72C9">
      <w:pPr>
        <w:spacing w:after="0" w:line="240" w:lineRule="auto"/>
      </w:pPr>
    </w:p>
    <w:p w14:paraId="556C9678"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EB72C9">
      <w:pPr>
        <w:spacing w:after="0" w:line="240" w:lineRule="auto"/>
      </w:pPr>
    </w:p>
    <w:p w14:paraId="597AF526"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EB72C9">
      <w:pPr>
        <w:spacing w:after="0" w:line="240" w:lineRule="auto"/>
      </w:pPr>
    </w:p>
    <w:p w14:paraId="03DB7408"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EB72C9">
      <w:pPr>
        <w:spacing w:after="0" w:line="240" w:lineRule="auto"/>
      </w:pPr>
    </w:p>
    <w:p w14:paraId="18F8CF5C"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1C37C0FC" w14:textId="77777777" w:rsidR="00257B78" w:rsidRPr="005345B4" w:rsidRDefault="00257B78" w:rsidP="00EB72C9">
      <w:pPr>
        <w:spacing w:after="0" w:line="240" w:lineRule="auto"/>
      </w:pPr>
    </w:p>
    <w:p w14:paraId="21F33EBE"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w:t>
      </w:r>
      <w:r w:rsidRPr="005345B4">
        <w:lastRenderedPageBreak/>
        <w:t>curator and independently reviewed entity-by-entity by two additional curators. The traceability contract, the hard-gate admission framework, and the anti-hallucination controls were enforced as executable code.</w:t>
      </w:r>
    </w:p>
    <w:p w14:paraId="0BBAC589"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EB72C9">
      <w:pPr>
        <w:spacing w:after="0" w:line="240" w:lineRule="auto"/>
      </w:pPr>
    </w:p>
    <w:p w14:paraId="78904399"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EB72C9">
      <w:pPr>
        <w:spacing w:after="0" w:line="240" w:lineRule="auto"/>
      </w:pPr>
      <w:r w:rsidRPr="005345B4">
        <w:rPr>
          <w:b/>
        </w:rPr>
        <w:t>Significance Statement</w:t>
      </w:r>
    </w:p>
    <w:p w14:paraId="798E69F6"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lastRenderedPageBreak/>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EB72C9">
      <w:pPr>
        <w:spacing w:after="0" w:line="240" w:lineRule="auto"/>
        <w:rPr>
          <w:rFonts w:asciiTheme="majorHAnsi" w:hAnsiTheme="majorHAnsi" w:cstheme="majorHAnsi"/>
          <w:bCs/>
          <w:szCs w:val="24"/>
        </w:rPr>
      </w:pPr>
    </w:p>
    <w:p w14:paraId="7688F2F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EB72C9">
      <w:pPr>
        <w:spacing w:after="0" w:line="240" w:lineRule="auto"/>
        <w:rPr>
          <w:rFonts w:asciiTheme="majorHAnsi" w:hAnsiTheme="majorHAnsi" w:cstheme="majorHAnsi"/>
          <w:szCs w:val="24"/>
        </w:rPr>
      </w:pPr>
    </w:p>
    <w:p w14:paraId="43D8812A"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 RCDome is a human gene atlas of regulated cell death (RCD) assembled in a single top-to-bottom workflow. Twenty databases and resources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83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r w:rsidRPr="00F62906">
        <w:rPr>
          <w:rFonts w:asciiTheme="majorHAnsi" w:hAnsiTheme="majorHAnsi" w:cstheme="majorHAnsi"/>
          <w:bCs/>
          <w:szCs w:val="24"/>
        </w:rPr>
      </w:r>
    </w:p>
    <w:p w14:paraId="63DFFC8D" w14:textId="77777777" w:rsidR="000B2C2A" w:rsidRPr="005345B4" w:rsidRDefault="000B2C2A" w:rsidP="00EB72C9">
      <w:pPr>
        <w:spacing w:after="0" w:line="240" w:lineRule="auto"/>
        <w:rPr>
          <w:rFonts w:asciiTheme="majorHAnsi" w:hAnsiTheme="majorHAnsi" w:cstheme="majorHAnsi"/>
          <w:szCs w:val="24"/>
        </w:rPr>
      </w:pPr>
    </w:p>
    <w:p w14:paraId="22E89453" w14:textId="77777777" w:rsidR="00B147AA" w:rsidRPr="005345B4" w:rsidRDefault="00000000" w:rsidP="00EB72C9">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w:t>
      </w:r>
      <w:r w:rsidRPr="00F62906">
        <w:rPr>
          <w:rFonts w:asciiTheme="majorHAnsi" w:hAnsiTheme="majorHAnsi" w:cstheme="majorHAnsi"/>
          <w:bCs/>
          <w:szCs w:val="24"/>
        </w:rPr>
        <w:lastRenderedPageBreak/>
        <w:t>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EB72C9">
      <w:pPr>
        <w:spacing w:after="0" w:line="240" w:lineRule="auto"/>
        <w:rPr>
          <w:rFonts w:asciiTheme="majorHAnsi" w:hAnsiTheme="majorHAnsi" w:cstheme="majorHAnsi"/>
          <w:b/>
          <w:szCs w:val="24"/>
        </w:rPr>
      </w:pPr>
    </w:p>
    <w:p w14:paraId="3DBC9F16"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 xml:space="preserve">Figure 3. The death core and its regulatory network. </w:t>
      </w:r>
      <w:r w:rsidRPr="00F62906">
        <w:rPr>
          <w:rFonts w:asciiTheme="majorHAnsi" w:hAnsiTheme="majorHAnsi" w:cstheme="majorHAnsi"/>
          <w:bCs/>
          <w:szCs w:val="24"/>
        </w:rPr>
        <w:t>(A)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(63.5%) while the Functional/contextual categories (L4) are the most dilute (22.9%), with the Generic/umbrella/taxon concepts at 30.2%. (C) Direction across all role-resolved associations: 5,035 promote and 4,755 protect (among the 9,311 regulators, 4,556 promote and 4,755 protect), a near-even balance. (D) The executor core (orange, 469) drawn area-proportionally inside the regulatory network (blue, 9,311) and the unresolved associations (grey, 11,783), illustrating that the death-executing machinery is small and the regulatory network is vast.</w:t>
      </w:r>
    </w:p>
    <w:p w14:paraId="082FD2CE" w14:textId="77777777" w:rsidR="005739A1" w:rsidRPr="005345B4" w:rsidRDefault="005739A1" w:rsidP="00EB72C9">
      <w:pPr>
        <w:spacing w:after="0" w:line="240" w:lineRule="auto"/>
        <w:rPr>
          <w:rFonts w:asciiTheme="majorHAnsi" w:hAnsiTheme="majorHAnsi" w:cstheme="majorHAnsi"/>
          <w:szCs w:val="24"/>
        </w:rPr>
      </w:pPr>
    </w:p>
    <w:p w14:paraId="2DB6EB13" w14:textId="77777777" w:rsidR="004B02F0" w:rsidRPr="005345B4" w:rsidRDefault="00000000" w:rsidP="00EB72C9">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EB72C9">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687C11B"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EE0B4" w14:textId="77777777" w:rsidR="00A145CE" w:rsidRDefault="00A145CE" w:rsidP="007B760F">
      <w:pPr>
        <w:spacing w:after="0" w:line="240" w:lineRule="auto"/>
      </w:pPr>
      <w:r>
        <w:separator/>
      </w:r>
    </w:p>
  </w:endnote>
  <w:endnote w:type="continuationSeparator" w:id="0">
    <w:p w14:paraId="0681AC60" w14:textId="77777777" w:rsidR="00A145CE" w:rsidRDefault="00A145C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F122" w14:textId="77777777" w:rsidR="00A145CE" w:rsidRDefault="00A145CE" w:rsidP="007B760F">
      <w:pPr>
        <w:spacing w:after="0" w:line="240" w:lineRule="auto"/>
      </w:pPr>
      <w:r>
        <w:separator/>
      </w:r>
    </w:p>
  </w:footnote>
  <w:footnote w:type="continuationSeparator" w:id="0">
    <w:p w14:paraId="43403490" w14:textId="77777777" w:rsidR="00A145CE" w:rsidRDefault="00A145C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0FANIjXc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912"/>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5AE2"/>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62906"/>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45</Pages>
  <Words>22682</Words>
  <Characters>124751</Characters>
  <Application>Microsoft Office Word</Application>
  <DocSecurity>0</DocSecurity>
  <Lines>1039</Lines>
  <Paragraphs>294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147139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248</cp:revision>
  <dcterms:created xsi:type="dcterms:W3CDTF">2013-12-23T23:15:00Z</dcterms:created>
  <dcterms:modified xsi:type="dcterms:W3CDTF">2026-10-10T15:22:00Z</dcterms:modified>
  <cp:category/>
</cp:coreProperties>
</file>