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t>cell-type-specific and differentiation-associated phenomena); L5 (generic/umbrella/generic/umbrella/taxon).</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generic/umbrella/generic/umbrella/taxon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pPr/>
      <w: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G1 machinery and 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Supplementary Figure S2. 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r w:rsidRPr="00CD1CF5">
        <w:rPr>
          <w:rFonts w:asciiTheme="majorHAnsi" w:hAnsiTheme="majorHAnsi" w:cstheme="majorHAnsi"/>
          <w:bCs/>
          <w:szCs w:val="24"/>
        </w:rPr>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 Mechanistic associations per source, stacked by RCD entity ontological level.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r w:rsidRPr="00FE7B70">
        <w:rPr>
          <w:rFonts w:asciiTheme="majorHAnsi" w:hAnsiTheme="majorHAnsi" w:cstheme="majorHAnsi"/>
          <w:bCs/>
          <w:szCs w:val="24"/>
        </w:rPr>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