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2"/>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these 15 plus anoikis, autosis, efferocytosis, mitotic death, and programmed cell death,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22059B">
        <w:rPr>
          <w:rFonts w:asciiTheme="majorHAnsi" w:hAnsiTheme="majorHAnsi" w:cstheme="majorHAnsi"/>
          <w:szCs w:val="24"/>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rPr>
      </w:r>
      <w:r w:rsidRPr="0022059B">
        <w:rPr>
          <w:rFonts w:asciiTheme="majorHAnsi" w:hAnsiTheme="majorHAnsi" w:cstheme="majorHAnsi"/>
          <w:szCs w:val="24"/>
          <w:highlight w:val="yellow"/>
        </w:rPr>
      </w:r>
      <w:r w:rsidRPr="0022059B">
        <w:rPr>
          <w:rFonts w:asciiTheme="majorHAnsi" w:hAnsiTheme="majorHAnsi" w:cstheme="majorHAnsi"/>
          <w:szCs w:val="24"/>
        </w:rPr>
      </w:r>
      <w:r w:rsidR="0022059B">
        <w:rPr>
          <w:rFonts w:asciiTheme="majorHAnsi" w:hAnsiTheme="majorHAnsi" w:cstheme="majorHAnsi"/>
          <w:szCs w:val="24"/>
        </w:rPr>
      </w:r>
      <w:r w:rsidRPr="0022059B">
        <w:rPr>
          <w:rFonts w:asciiTheme="majorHAnsi" w:hAnsiTheme="majorHAnsi" w:cstheme="majorHAnsi"/>
          <w:szCs w:val="24"/>
        </w:rPr>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Specialized databases such as FerrDB v3 (22 RCD forms, 3,481 genes) {Zhou, 2026 #782033} and RCDdb {Wang, 2024 #782694}, together with our prior compilation (25 RCD forms, 5,913 genes) {Rodrigues de Souza, 2025 #782030},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r w:rsidR="00980C69" w:rsidRPr="009B500E">
        <w:rPr>
          <w:rFonts w:asciiTheme="majorHAnsi" w:hAnsiTheme="majorHAnsi" w:cstheme="majorHAnsi"/>
          <w:szCs w:val="24"/>
          <w:highlight w:val="yellow"/>
        </w:rPr>
      </w:r>
      <w:r w:rsidR="00980C69" w:rsidRPr="009B500E">
        <w:rPr>
          <w:rFonts w:asciiTheme="majorHAnsi" w:hAnsiTheme="majorHAnsi" w:cstheme="majorHAnsi"/>
          <w:szCs w:val="24"/>
        </w:rPr>
      </w:r>
      <w:r w:rsidRPr="009B500E">
        <w:rPr>
          <w:rFonts w:asciiTheme="majorHAnsi" w:hAnsiTheme="majorHAnsi" w:cstheme="majorHAnsi"/>
          <w:szCs w:val="24"/>
        </w:rPr>
      </w:r>
      <w:r w:rsidR="000F5DEE" w:rsidRPr="009B500E">
        <w:rPr>
          <w:rFonts w:asciiTheme="majorHAnsi" w:hAnsiTheme="majorHAnsi" w:cstheme="majorHAnsi"/>
          <w:szCs w:val="24"/>
        </w:rPr>
      </w:r>
      <w:r w:rsidR="000F5DEE"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187DB0"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5E4420">
        <w:rPr>
          <w:rFonts w:asciiTheme="majorHAnsi" w:hAnsiTheme="majorHAnsi" w:cstheme="majorHAnsi"/>
          <w:szCs w:val="24"/>
        </w:rPr>
      </w:r>
      <w:r w:rsidR="005E4420" w:rsidRPr="009B500E">
        <w:rPr>
          <w:rFonts w:asciiTheme="majorHAnsi" w:hAnsiTheme="majorHAnsi" w:cstheme="majorHAnsi"/>
          <w:szCs w:val="24"/>
        </w:rPr>
      </w:r>
      <w:r w:rsidRPr="009B500E">
        <w:rPr>
          <w:rFonts w:asciiTheme="majorHAnsi" w:hAnsiTheme="majorHAnsi" w:cstheme="majorHAnsi"/>
          <w:szCs w:val="24"/>
        </w:rPr>
      </w:r>
      <w:r w:rsidR="005E4420">
        <w:rPr>
          <w:rFonts w:asciiTheme="majorHAnsi" w:hAnsiTheme="majorHAnsi" w:cstheme="majorHAnsi"/>
          <w:szCs w:val="24"/>
        </w:rPr>
      </w:r>
      <w:r w:rsidRPr="009B500E">
        <w:rPr>
          <w:rFonts w:asciiTheme="majorHAnsi" w:hAnsiTheme="majorHAnsi" w:cstheme="majorHAnsi"/>
          <w:szCs w:val="24"/>
        </w:rPr>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r>
        <w:t>The platform was built in three stages, compile (Channels A–D), validate (Phase 2A–2G), and govern (Phase 3), followed by the web application. Each stage is described in turn.</w:t>
      </w: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r>
        <w:t>The platform was built in three stages, compile (Channels A–D), validate (Phase 2A–2G), and govern (Phase 3), followed by the web application. Each stage is described in turn.</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(Galluzzi et al., 2018, PMID:29362479) and extended through AI-curated definitions {Rodrigues de Souza, 2025 #782030;Rodrigues de Souza, 2026 #784804}. These 25 forms comprised 20 executioner entities, 2 trigger events, and 3 functional categories (Supplementary Table S1). </w:t>
      </w:r>
      <w:r w:rsidRPr="00E4335B">
        <w:rPr>
          <w:rFonts w:asciiTheme="majorHAnsi" w:hAnsiTheme="majorHAnsi" w:cstheme="majorHAnsi"/>
          <w:szCs w:val="24"/>
          <w:highlight w:val="magenta"/>
        </w:rPr>
      </w:r>
      <w:r w:rsidRPr="009B500E">
        <w:rPr>
          <w:rFonts w:asciiTheme="majorHAnsi" w:hAnsiTheme="majorHAnsi" w:cstheme="majorHAnsi"/>
          <w:szCs w:val="24"/>
        </w:rPr>
      </w:r>
      <w:r w:rsidRPr="00E4335B">
        <w:rPr>
          <w:rFonts w:asciiTheme="majorHAnsi" w:hAnsiTheme="majorHAnsi" w:cstheme="majorHAnsi"/>
          <w:color w:val="EE0000"/>
          <w:szCs w:val="24"/>
        </w:rPr>
      </w:r>
      <w:r w:rsidRPr="00E4335B">
        <w:rPr>
          <w:rFonts w:asciiTheme="majorHAnsi" w:hAnsiTheme="majorHAnsi" w:cstheme="majorHAnsi"/>
          <w:color w:val="EE0000"/>
          <w:szCs w:val="24"/>
          <w:highlight w:val="cyan"/>
        </w:rPr>
      </w:r>
      <w:r w:rsidRPr="00E4335B">
        <w:rPr>
          <w:rFonts w:asciiTheme="majorHAnsi" w:hAnsiTheme="majorHAnsi" w:cstheme="majorHAnsi"/>
          <w:color w:val="EE0000"/>
          <w:szCs w:val="24"/>
        </w:rPr>
      </w:r>
      <w:r w:rsidRPr="009B500E">
        <w:rPr>
          <w:rFonts w:asciiTheme="majorHAnsi" w:hAnsiTheme="majorHAnsi" w:cstheme="majorHAnsi"/>
          <w:szCs w:val="24"/>
        </w:rPr>
      </w:r>
      <w:r w:rsidRPr="009B500E">
        <w:rPr>
          <w:rFonts w:asciiTheme="majorHAnsi" w:hAnsiTheme="majorHAnsi" w:cstheme="majorHAnsi"/>
          <w:szCs w:val="24"/>
          <w:highlight w:val="yellow"/>
        </w:rPr>
      </w:r>
      <w:r w:rsidR="009B500E" w:rsidRPr="009B500E">
        <w:rPr>
          <w:rFonts w:asciiTheme="majorHAnsi" w:hAnsiTheme="majorHAnsi" w:cstheme="majorHAnsi"/>
          <w:szCs w:val="24"/>
        </w:rPr>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in which the operational definitions of the five RCD forms not described by the NCCD were extracted by generative AI (GPT-4o, via the PDF Ai Drive tool, over a corpus of 6,603 free-access PDFs) and subsequently validated by manual review,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r w:rsidR="00D16F02">
        <w:rPr>
          <w:rFonts w:asciiTheme="majorHAnsi" w:hAnsiTheme="majorHAnsi" w:cstheme="majorHAnsi"/>
          <w:szCs w:val="24"/>
        </w:rPr>
      </w:r>
      <w:r w:rsidRPr="009B500E">
        <w:rPr>
          <w:rFonts w:asciiTheme="majorHAnsi" w:hAnsiTheme="majorHAnsi" w:cstheme="majorHAnsi"/>
          <w:szCs w:val="24"/>
        </w:rPr>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r w:rsidR="00635000">
        <w:rPr>
          <w:rFonts w:asciiTheme="majorHAnsi" w:hAnsiTheme="majorHAnsi" w:cstheme="majorHAnsi"/>
          <w:szCs w:val="24"/>
        </w:rPr>
      </w:r>
      <w:r w:rsidRPr="009B500E">
        <w:rPr>
          <w:rFonts w:asciiTheme="majorHAnsi" w:hAnsiTheme="majorHAnsi" w:cstheme="majorHAnsi"/>
          <w:szCs w:val="24"/>
        </w:rPr>
      </w:r>
      <w:r w:rsidRPr="009B500E">
        <w:rPr>
          <w:rFonts w:asciiTheme="majorHAnsi" w:hAnsiTheme="majorHAnsi" w:cstheme="majorHAnsi"/>
          <w:szCs w:val="24"/>
          <w:highlight w:val="green"/>
        </w:rPr>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t>RCD Form Vocabulary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2A/D)</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w:t>
      </w:r>
      <w:r w:rsidRPr="009B500E">
        <w:rPr>
          <w:rFonts w:asciiTheme="majorHAnsi" w:hAnsiTheme="majorHAnsi" w:cstheme="majorHAnsi"/>
          <w:szCs w:val="24"/>
        </w:rPr>
        <w:t>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2B)</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pPr/>
      <w:r>
        <w:rPr>
          <w:b/>
        </w:rPr>
        <w:t>Phase 2C: Full-Text Europe PMC Recovery</w:t>
      </w: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Output and Traceability. 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r w:rsidRPr="009B500E">
        <w:rPr>
          <w:rFonts w:asciiTheme="majorHAnsi" w:hAnsiTheme="majorHAnsi" w:cstheme="majorHAnsi"/>
          <w:szCs w:val="24"/>
        </w:rPr>
      </w:r>
      <w:r w:rsidRPr="009B500E">
        <w:rPr>
          <w:rFonts w:asciiTheme="majorHAnsi" w:hAnsiTheme="majorHAnsi" w:cstheme="majorHAnsi"/>
          <w:szCs w:val="24"/>
        </w:rPr>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t xml:space="preserve">The compendium contains 22,473 gene-RCD association rows spanning 9,265 unique HGNC-validated human gene symbols and 53 RCD-related entities (62 original RCD form name strings, consolidated through 11 synonym merges)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involvement ; DATABASE_ONLY, 442 pairs (2.0%), gene and RCD term never co-occur in PubMed ; TECHNICAL_FAILURE, 0 pairs (0%), no API failures in the final run</w:t>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r w:rsidRPr="009B500E">
        <w:rPr>
          <w:rFonts w:asciiTheme="majorHAnsi" w:hAnsiTheme="majorHAnsi" w:cstheme="majorHAnsi"/>
          <w:bCs/>
          <w:szCs w:val="24"/>
        </w:rPr>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r w:rsidRPr="009B500E">
        <w:rPr>
          <w:rFonts w:asciiTheme="majorHAnsi" w:hAnsiTheme="majorHAnsi" w:cstheme="majorHAnsi"/>
          <w:szCs w:val="24"/>
        </w:rPr>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t>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E2E0A">
        <w:rPr>
          <w:rFonts w:asciiTheme="majorHAnsi" w:hAnsiTheme="majorHAnsi" w:cstheme="majorHAnsi"/>
          <w:bCs/>
          <w:szCs w:val="24"/>
        </w:rPr>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