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Email: Digital Molecular RCD Board — agente de IA governado e auto-auditado</w:t>
      </w:r>
    </w:p>
    <w:p>
      <w:r>
        <w:rPr>
          <w:b/>
        </w:rPr>
        <w:t>Para:</w:t>
      </w:r>
      <w:r>
        <w:t xml:space="preserve"> Emanuell Rodrigues de Souza; Victor dos Santos Lopes; Higor Almeida Cordeiro Nogueira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RCDome: Digital Molecular RCD Board implementado com agente de IA totalmente governado e auto-auditado</w:t>
      </w:r>
    </w:p>
    <w:p>
      <w:r>
        <w:t>Emanuell, Victor e Higor,</w:t>
      </w:r>
    </w:p>
    <w:p>
      <w:r>
        <w:t xml:space="preserve">Boa notícia: o </w:t>
      </w:r>
      <w:r>
        <w:rPr>
          <w:b/>
        </w:rPr>
        <w:t>Digital Molecular RCD Board</w:t>
      </w:r>
      <w:r>
        <w:t xml:space="preserve"> foi implementado e validado. Trata-se de um agente de IA totalmente governado e auto-auditado que explora a matriz RCDome e o decoder RCDome para responder a consultas gene–RCD. Segue o resumo da lógica, da governança, da política e do benchmark.</w:t>
      </w:r>
    </w:p>
    <w:p>
      <w:pPr>
        <w:pStyle w:val="Heading2"/>
      </w:pPr>
      <w:r>
        <w:t>Lógica</w:t>
      </w:r>
    </w:p>
    <w:p>
      <w:r>
        <w:t>O Board combina dois componentes:</w:t>
      </w:r>
    </w:p>
    <w:p>
      <w:pPr>
        <w:pStyle w:val="ListNumber"/>
      </w:pPr>
      <w:r>
        <w:rPr>
          <w:b/>
        </w:rPr>
        <w:t>Síntese em prosa</w:t>
      </w:r>
      <w:r>
        <w:t xml:space="preserve"> — para uma entidade (e gene opcional), gera uma síntese contínua, com fonte e hedge, estritamente a partir da matriz e do decoder.</w:t>
      </w:r>
    </w:p>
    <w:p>
      <w:pPr>
        <w:pStyle w:val="ListNumber"/>
      </w:pPr>
      <w:r>
        <w:rPr>
          <w:b/>
        </w:rPr>
        <w:t>Q&amp;A de IA</w:t>
      </w:r>
      <w:r>
        <w:t xml:space="preserve"> — um submódulo de recuperação aumentada (RAG) que responde perguntas livres sobre </w:t>
      </w:r>
      <w:r>
        <w:rPr>
          <w:b/>
        </w:rPr>
        <w:t>todas as 53 entidades e todos os 9.265 genes</w:t>
      </w:r>
      <w:r>
        <w:t>. Uma camada estática injeta o índice completo gene→entidade (as 22.473 associações; nada é apagado). Uma camada dinâmica recupera, para cada pergunta, os registros completos em quatro dimensões (classe mecanística, papel, direção, tier e PMID). Assim, um gene registrado como executor em uma forma e regulador em outra é mostrado com ambos os registros — sem funil de dados.</w:t>
      </w:r>
    </w:p>
    <w:p>
      <w:pPr>
        <w:pStyle w:val="Heading2"/>
      </w:pPr>
      <w:r>
        <w:t>Governança (zero alucinação)</w:t>
      </w:r>
    </w:p>
    <w:p>
      <w:pPr>
        <w:pStyle w:val="ListBullet"/>
      </w:pPr>
      <w:r>
        <w:t>Apenas os termos "RCDome database" e "RCDome decoder"; as palavras nuas "database", "decoder" e "matrix" são proibidas.</w:t>
      </w:r>
    </w:p>
    <w:p>
      <w:pPr>
        <w:pStyle w:val="ListBullet"/>
      </w:pPr>
      <w:r>
        <w:t>Verbos causais assertivos são substituídos por hedge ("pode sugerir", "é consistente com", "requer validação").</w:t>
      </w:r>
    </w:p>
    <w:p>
      <w:pPr>
        <w:pStyle w:val="ListBullet"/>
      </w:pPr>
      <w:r>
        <w:t>Toda resposta termina com o disclaimer exato; pergunta fora do escopo recebe a recusa exata.</w:t>
      </w:r>
    </w:p>
    <w:p>
      <w:pPr>
        <w:pStyle w:val="ListBullet"/>
      </w:pPr>
      <w:r>
        <w:t>Nunca inventa gene, PMID ou fato; só cita PMIDs presentes nos dados.</w:t>
      </w:r>
    </w:p>
    <w:p>
      <w:pPr>
        <w:pStyle w:val="ListBullet"/>
      </w:pPr>
      <w:r>
        <w:t>Controle negativo: par ausente é relatado como "not recorded", sem inventar papel ou direção.</w:t>
      </w:r>
    </w:p>
    <w:p>
      <w:pPr>
        <w:pStyle w:val="Heading2"/>
      </w:pPr>
      <w:r>
        <w:t>Política</w:t>
      </w:r>
    </w:p>
    <w:p>
      <w:r>
        <w:t>Nenhum limite artificial: o índice estático mantém as 22.473 associações e as seis classificações (MECHANISTIC, LITERATURE_GAP, CONTEXT_GAP, CO_OCCURRENCE, DATABASE_ONLY, INSUFFICIENT_DATA) permanecem alcançáveis em qualquer consulta.</w:t>
      </w:r>
    </w:p>
    <w:p>
      <w:pPr>
        <w:pStyle w:val="Heading2"/>
      </w:pPr>
      <w:r>
        <w:t>Benchmark (estatística completa)</w:t>
      </w:r>
    </w:p>
    <w:p>
      <w:r>
        <w:rPr>
          <w:b/>
        </w:rPr>
        <w:t>Board (9 testes):</w:t>
      </w:r>
      <w:r>
        <w:t xml:space="preserve"> golden 26/26 = 100% · censo 53/53 = 100% · estabilidade de fatos 73/73 = 100% · governança 1 violação em 2.142 checagens = 0,047% · anti-alucinação 4/4 = 100% · articulação 78/79 = 98,7%.</w:t>
      </w:r>
    </w:p>
    <w:p>
      <w:r>
        <w:rPr>
          <w:b/>
        </w:rPr>
        <w:t>Q&amp;A (2 testes, n = 100 cada):</w:t>
      </w:r>
      <w:r>
        <w:t xml:space="preserve"> precisão positiva 100/100 = 100% · controles negativos 100/100 = 100% · Wilson 95% IC 96,3–100% · binomial bicaudal p = 0,010.</w:t>
      </w:r>
    </w:p>
    <w:p>
      <w:r>
        <w:t>O modelo é o deepseek-chat (temperatura 0,3 no Q&amp;A; 0,7 na síntese). O detalhe completo está na Supplementary Note S4.</w:t>
      </w:r>
    </w:p>
    <w:p>
      <w:pPr>
        <w:pStyle w:val="Heading2"/>
      </w:pPr>
      <w:r>
        <w:t>Próximos passos</w:t>
      </w:r>
    </w:p>
    <w:p>
      <w:pPr>
        <w:pStyle w:val="ListBullet"/>
      </w:pPr>
      <w:r>
        <w:t>Todos: testar o Board e o Q&amp;A no app (aba logo após o Gene Catalog).</w:t>
      </w:r>
    </w:p>
    <w:p>
      <w:pPr>
        <w:pStyle w:val="ListBullet"/>
      </w:pPr>
      <w:r>
        <w:t>Todos: revisar a Supplementary Note S4 (governança + benchmark).</w:t>
      </w:r>
    </w:p>
    <w:p>
      <w:pPr>
        <w:pStyle w:val="Heading2"/>
      </w:pPr>
      <w:r>
        <w:t>Instalação e execução</w:t>
      </w:r>
    </w:p>
    <w:p>
      <w:r>
        <w:t>O pacote atualizado está disponível em:</w:t>
      </w:r>
    </w:p>
    <w:p>
      <w:pPr>
        <w:pStyle w:val="ListBullet"/>
      </w:pPr>
      <w:r>
        <w:rPr>
          <w:b/>
        </w:rPr>
        <w:t>Zip</w:t>
      </w:r>
      <w:r>
        <w:t>: `RCDome_V026_update_2.zip` — https://drive.google.com/file/d/11-_6A2JN0PV6TgYLnXhgOttoOTKodYH5/view?usp=sharing</w:t>
      </w:r>
    </w:p>
    <w:p>
      <w:pPr>
        <w:pStyle w:val="ListBullet"/>
      </w:pPr>
      <w:r>
        <w:rPr>
          <w:b/>
        </w:rPr>
        <w:t>Google Drive (pasta)</w:t>
      </w:r>
      <w:r>
        <w:t>: https://drive.google.com/drive/folders/1my9M5CT-1SmM4mSnhZKVdWVnzt9Av5y1?usp=sharing</w:t>
      </w:r>
    </w:p>
    <w:p>
      <w:pPr>
        <w:pStyle w:val="ListBullet"/>
      </w:pPr>
      <w:r>
        <w:rPr>
          <w:b/>
        </w:rPr>
        <w:t>Repositório (privado)</w:t>
      </w:r>
      <w:r>
        <w:t>: `CHANGELOG_V026_2.md` em `results/changelogs/` — https://github.com/BioCancerInformatics/RCDome</w:t>
      </w:r>
    </w:p>
    <w:p>
      <w:r>
        <w:t>Para instalar e rodar:</w:t>
      </w:r>
    </w:p>
    <w:p>
      <w:pPr>
        <w:pStyle w:val="ListNumber"/>
      </w:pPr>
      <w:r>
        <w:t>Baixe `RCDome_V026_update_2.zip` (link acima) e extraia em uma pasta local.</w:t>
      </w:r>
    </w:p>
    <w:p>
      <w:pPr>
        <w:pStyle w:val="ListNumber"/>
      </w:pPr>
      <w:r>
        <w:t>Crie um arquivo `.Renviron` na pasta extraída com a chave (compartilhada em separado, nunca no repositório): `DEEPSEEK_API_KEY=...`</w:t>
      </w:r>
    </w:p>
    <w:p>
      <w:pPr>
        <w:pStyle w:val="ListNumber"/>
      </w:pPr>
      <w:r>
        <w:t>No R ou RStudio:</w:t>
      </w:r>
    </w:p>
    <w:p>
      <w:r>
        <w:rPr>
          <w:rFonts w:ascii="Consolas" w:hAnsi="Consolas"/>
          <w:sz w:val="19"/>
        </w:rPr>
        <w:t xml:space="preserve">   setwd(".../RCDome_Atlas/APP")</w:t>
      </w:r>
    </w:p>
    <w:p>
      <w:r>
        <w:rPr>
          <w:rFonts w:ascii="Consolas" w:hAnsi="Consolas"/>
          <w:sz w:val="19"/>
        </w:rPr>
        <w:t xml:space="preserve">   shiny::runApp(appDir = ".", port = 8890, launch.browser = TRUE)</w:t>
      </w:r>
    </w:p>
    <w:p>
      <w:pPr>
        <w:pStyle w:val="ListNumber"/>
      </w:pPr>
      <w:r>
        <w:t>O Board fica na aba logo após o Gene Catalog: selecione a entidade, gere a síntese e use o Q&amp;A.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