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Medina’s AI Governance Rules in Writing Scientific Manuscripts</w:t>
      </w:r>
    </w:p>
    <w:p>
      <w:pPr>
        <w:jc w:val="center"/>
      </w:pPr>
      <w:r>
        <w:rPr>
          <w:i/>
          <w:color w:val="646464"/>
          <w:sz w:val="20"/>
        </w:rPr>
        <w:t>Inspired by Tregoning (2026) — “Is the scientific paper still a fraud?”</w:t>
        <w:br/>
        <w:t>PLOS Biology, 24(8), e3003912</w:t>
      </w:r>
    </w:p>
    <w:p>
      <w:pPr>
        <w:jc w:val="center"/>
      </w:pPr>
      <w:r>
        <w:rPr>
          <w:color w:val="828282"/>
          <w:sz w:val="18"/>
        </w:rPr>
        <w:t>Governance authored by Enrique Medina-Acosta, with AI assistance</w:t>
      </w:r>
    </w:p>
    <w:p/>
    <w:p>
      <w:pPr>
        <w:pStyle w:val="Heading1"/>
      </w:pPr>
      <w:r>
        <w:t>Preamble</w:t>
      </w:r>
    </w:p>
    <w:p>
      <w:r>
        <w:t>These rules were not written by Peter Medawar or by John Tregoning. Tregoning’s 2026 Perspective in PLOS Biology revisits Medawar’s 1963 argument that the scientific paper is a “fraud” — not in the sense of falsified data, but because its sterile IMRaD format hides the messy, creative, human process of actual science. Tregoning warns that this matters more now, in the age of AI, because the formulaic paper is exactly what AI can replicate — leading to “AI slop.” The only defense is the human.</w:t>
      </w:r>
      <w:r>
        <w:rPr>
          <w:i/>
        </w:rPr>
        <w:br/>
        <w:br/>
        <w:t>These governance rules were created by Enrique Medina-Acosta after reading Tregoning’s article and recognizing that his own manuscript (RCDome_V011) had already anticipated its core argument — without having read the article. The rules formalize what was already intuitive: AI is a tool; the human is the scientist.</w:t>
      </w:r>
    </w:p>
    <w:p>
      <w:pPr>
        <w:pStyle w:val="Heading1"/>
      </w:pPr>
      <w:r>
        <w:t>The Core Logic (Why This Matters)</w:t>
      </w:r>
    </w:p>
    <w:p>
      <w:r>
        <w:rPr>
          <w:b/>
        </w:rPr>
        <w:t xml:space="preserve">1. Medawar’s insight (1963): </w:t>
      </w:r>
      <w:r>
        <w:t>The scientific paper is a fraud — its sterile IMRaD format hides the messy, creative, human process of actual science. It presents research as a clean linear march from hypothesis to conclusion, erasing guesswork, dead ends, and the scientist’s agency.</w:t>
      </w:r>
    </w:p>
    <w:p>
      <w:r>
        <w:rPr>
          <w:b/>
        </w:rPr>
        <w:t xml:space="preserve">2. Tregoning’s update (2026): </w:t>
      </w:r>
      <w:r>
        <w:t>This matters more now because AI thrives on sterile formats. The more formulaic and voice-stripped a paper is, the easier it is for AI to replicate — leading to “AI slop.” The only defense against this is the human.</w:t>
      </w:r>
    </w:p>
    <w:p>
      <w:r>
        <w:rPr>
          <w:b/>
        </w:rPr>
        <w:t xml:space="preserve">3. The imagination/hallucination gap: </w:t>
      </w:r>
      <w:r>
        <w:t>Human imagination says “What if...?” and tests against reality. It is the engine of science — the “adventures of the mind” that Medawar described. AI hallucination says “This is...” confidently, with no understanding, no testing, and no accountability. Imagination opens real doors; hallucination builds fake ones.</w:t>
      </w:r>
    </w:p>
    <w:p>
      <w:r>
        <w:rPr>
          <w:b/>
        </w:rPr>
        <w:t xml:space="preserve">4. Therefore (Medina’s rules): </w:t>
      </w:r>
      <w:r>
        <w:t>AI must assist without ever replacing the human — because the human is both the source of real science (imagination) and the safeguard against fake science (hallucination). But critically: the human does not belong everywhere in the manuscript. The human belongs where the thinking happens.</w:t>
      </w:r>
    </w:p>
    <w:p>
      <w:pPr>
        <w:pStyle w:val="Heading1"/>
      </w:pPr>
      <w:r>
        <w:t>Principle 0: The Prime Directive</w:t>
      </w:r>
    </w:p>
    <w:p>
      <w:r>
        <w:rPr>
          <w:b/>
        </w:rPr>
        <w:t>The manuscript must always read human where the human matters.</w:t>
      </w:r>
      <w:r>
        <w:t xml:space="preserve"> Not everywhere. The Methods section is a protocol — it should be precise, replicable, and sterile. But the Introduction (the idea sold to the reader) and the Discussion (the concept explained, the failures owned, the limitations faced) must carry the human voice. If those sections could have been written by a machine, they fail.</w:t>
      </w:r>
    </w:p>
    <w:p>
      <w:pPr>
        <w:pStyle w:val="Heading1"/>
      </w:pPr>
      <w:r>
        <w:t>Where the Human Belongs — and Where It Does Not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Human Presence</w:t>
            </w:r>
          </w:p>
        </w:tc>
        <w:tc>
          <w:tcPr>
            <w:tcW w:type="dxa" w:w="2880"/>
          </w:tcPr>
          <w:p>
            <w:r>
              <w:rPr>
                <w:b/>
              </w:rPr>
              <w:t>Rule</w:t>
            </w:r>
          </w:p>
        </w:tc>
      </w:tr>
      <w:tr>
        <w:tc>
          <w:tcPr>
            <w:tcW w:type="dxa" w:w="2880"/>
          </w:tcPr>
          <w:p>
            <w:r>
              <w:t>Introduction</w:t>
            </w:r>
          </w:p>
        </w:tc>
        <w:tc>
          <w:tcPr>
            <w:tcW w:type="dxa" w:w="2880"/>
          </w:tcPr>
          <w:p>
            <w:r>
              <w:t>✅ HUMAN ESSENTIAL</w:t>
            </w:r>
          </w:p>
        </w:tc>
        <w:tc>
          <w:tcPr>
            <w:tcW w:type="dxa" w:w="2880"/>
          </w:tcPr>
          <w:p>
            <w:r>
              <w:t>This is where the idea is sold to the reader. The inception point — the moment before which the idea did not exist — lives here. Why this work? What gap? What was the guess that launched it? The reader must feel a human mind at work. AI may polish; it may not originate.</w:t>
            </w:r>
          </w:p>
        </w:tc>
      </w:tr>
      <w:tr>
        <w:tc>
          <w:tcPr>
            <w:tcW w:type="dxa" w:w="2880"/>
          </w:tcPr>
          <w:p>
            <w:r>
              <w:t>Methods</w:t>
            </w:r>
          </w:p>
        </w:tc>
        <w:tc>
          <w:tcPr>
            <w:tcW w:type="dxa" w:w="2880"/>
          </w:tcPr>
          <w:p>
            <w:r>
              <w:t>❌ HUMAN ABSENT (by design)</w:t>
            </w:r>
          </w:p>
        </w:tc>
        <w:tc>
          <w:tcPr>
            <w:tcW w:type="dxa" w:w="2880"/>
          </w:tcPr>
          <w:p>
            <w:r>
              <w:t>The Methods section is a protocol — precise, replicable, auditable. It should be sterile. This is not a flaw; it is the function. AI assistance is welcome here for clarity, consistency, and completeness. The human governs the design; the text itself may be machine-polished.</w:t>
            </w:r>
          </w:p>
        </w:tc>
      </w:tr>
      <w:tr>
        <w:tc>
          <w:tcPr>
            <w:tcW w:type="dxa" w:w="2880"/>
          </w:tcPr>
          <w:p>
            <w:r>
              <w:t>Results</w:t>
            </w:r>
          </w:p>
        </w:tc>
        <w:tc>
          <w:tcPr>
            <w:tcW w:type="dxa" w:w="2880"/>
          </w:tcPr>
          <w:p>
            <w:r>
              <w:t>⚠️ HUMAN LIGHT</w:t>
            </w:r>
          </w:p>
        </w:tc>
        <w:tc>
          <w:tcPr>
            <w:tcW w:type="dxa" w:w="2880"/>
          </w:tcPr>
          <w:p>
            <w:r>
              <w:t>Results report what was found, not what was felt. Human presence is limited to the choices of what to present and in what order — narrative architecture, not emotional voice. AI can assist with clarity; the human decides what matters.</w:t>
            </w:r>
          </w:p>
        </w:tc>
      </w:tr>
      <w:tr>
        <w:tc>
          <w:tcPr>
            <w:tcW w:type="dxa" w:w="2880"/>
          </w:tcPr>
          <w:p>
            <w:r>
              <w:t>Discussion</w:t>
            </w:r>
          </w:p>
        </w:tc>
        <w:tc>
          <w:tcPr>
            <w:tcW w:type="dxa" w:w="2880"/>
          </w:tcPr>
          <w:p>
            <w:r>
              <w:t>✅ HUMAN ESSENTIAL</w:t>
            </w:r>
          </w:p>
        </w:tc>
        <w:tc>
          <w:tcPr>
            <w:tcW w:type="dxa" w:w="2880"/>
          </w:tcPr>
          <w:p>
            <w:r>
              <w:t>This is where the experimental design concept is explained to the reader. Where the roads not taken are acknowledged. Where failures, surprises, and limitations are found — honestly. Where the scientist speaks as a scientist, not as a stenographer. The human voice is not decoration here; it is the content. Creativity, doubt, and intellectual honesty live in the Discussion.</w:t>
            </w:r>
          </w:p>
        </w:tc>
      </w:tr>
    </w:tbl>
    <w:p/>
    <w:p>
      <w:pPr>
        <w:pStyle w:val="Heading1"/>
      </w:pPr>
      <w:r>
        <w:t>Phase 1 — The Spark (No AI)</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Rule</w:t>
            </w:r>
          </w:p>
        </w:tc>
        <w:tc>
          <w:tcPr>
            <w:tcW w:type="dxa" w:w="4320"/>
          </w:tcPr>
          <w:p>
            <w:r>
              <w:rPr>
                <w:b/>
              </w:rPr>
              <w:t>Reasoning</w:t>
            </w:r>
          </w:p>
        </w:tc>
      </w:tr>
      <w:tr>
        <w:tc>
          <w:tcPr>
            <w:tcW w:type="dxa" w:w="4320"/>
          </w:tcPr>
          <w:p>
            <w:r>
              <w:t>1.1 You imagine.</w:t>
              <w:br/>
              <w:t>Hypothesis, argument, narrative — yours alone.</w:t>
            </w:r>
          </w:p>
        </w:tc>
        <w:tc>
          <w:tcPr>
            <w:tcW w:type="dxa" w:w="4320"/>
          </w:tcPr>
          <w:p>
            <w:r>
              <w:t>AI has no imagination, only pattern-matching. The inception point — where an idea did not exist before — is exclusively human. Medawar called it “guesswork”; Tregoning calls it “adventures of the human mind.” AI cannot have adventures.</w:t>
            </w:r>
          </w:p>
        </w:tc>
      </w:tr>
      <w:tr>
        <w:tc>
          <w:tcPr>
            <w:tcW w:type="dxa" w:w="4320"/>
          </w:tcPr>
          <w:p>
            <w:r>
              <w:t>1.2 Write first.</w:t>
              <w:br/>
              <w:t>Get your messy draft down before AI ever touches it.</w:t>
            </w:r>
          </w:p>
        </w:tc>
        <w:tc>
          <w:tcPr>
            <w:tcW w:type="dxa" w:w="4320"/>
          </w:tcPr>
          <w:p>
            <w:r>
              <w:t>The mess is the science. The dead ends, the wrong turns, the “that’s funny” — this is what the paper format hides and what you must preserve before AI sanitizes it. This applies especially to Introduction and Discussion.</w:t>
            </w:r>
          </w:p>
        </w:tc>
      </w:tr>
    </w:tbl>
    <w:p>
      <w:pPr>
        <w:pStyle w:val="Heading1"/>
      </w:pPr>
      <w:r>
        <w:t>Phase 2 — The Assist (AI as Tool)</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Rule</w:t>
            </w:r>
          </w:p>
        </w:tc>
        <w:tc>
          <w:tcPr>
            <w:tcW w:type="dxa" w:w="2160"/>
          </w:tcPr>
          <w:p>
            <w:r>
              <w:rPr>
                <w:b/>
              </w:rPr>
              <w:t>✅ AI does</w:t>
            </w:r>
          </w:p>
        </w:tc>
        <w:tc>
          <w:tcPr>
            <w:tcW w:type="dxa" w:w="2160"/>
          </w:tcPr>
          <w:p>
            <w:r>
              <w:rPr>
                <w:b/>
              </w:rPr>
              <w:t>❌ AI does NOT</w:t>
            </w:r>
          </w:p>
        </w:tc>
        <w:tc>
          <w:tcPr>
            <w:tcW w:type="dxa" w:w="2160"/>
          </w:tcPr>
          <w:p>
            <w:r>
              <w:rPr>
                <w:b/>
              </w:rPr>
              <w:t>Reasoning</w:t>
            </w:r>
          </w:p>
        </w:tc>
      </w:tr>
      <w:tr>
        <w:tc>
          <w:tcPr>
            <w:tcW w:type="dxa" w:w="2160"/>
          </w:tcPr>
          <w:p>
            <w:r>
              <w:t>2.1 Polish Methods, not Introduction/Discussion.</w:t>
            </w:r>
          </w:p>
        </w:tc>
        <w:tc>
          <w:tcPr>
            <w:tcW w:type="dxa" w:w="2160"/>
          </w:tcPr>
          <w:p>
            <w:r>
              <w:t>Grammar, clarity, formatting in Methods and Results.</w:t>
            </w:r>
          </w:p>
        </w:tc>
        <w:tc>
          <w:tcPr>
            <w:tcW w:type="dxa" w:w="2160"/>
          </w:tcPr>
          <w:p>
            <w:r>
              <w:t>Generate the argument, the narrative, the interpretation, the limitations.</w:t>
            </w:r>
          </w:p>
        </w:tc>
        <w:tc>
          <w:tcPr>
            <w:tcW w:type="dxa" w:w="2160"/>
          </w:tcPr>
          <w:p>
            <w:r>
              <w:t>Methods are a protocol — polish is safe. But Introduction and Discussion carry the human spark; substance replaced there is the fraud Tregoning warns about — now turbocharged by AI.</w:t>
            </w:r>
          </w:p>
        </w:tc>
      </w:tr>
      <w:tr>
        <w:tc>
          <w:tcPr>
            <w:tcW w:type="dxa" w:w="2160"/>
          </w:tcPr>
          <w:p>
            <w:r>
              <w:t>2.2 Suggest, not decide.</w:t>
            </w:r>
          </w:p>
        </w:tc>
        <w:tc>
          <w:tcPr>
            <w:tcW w:type="dxa" w:w="2160"/>
          </w:tcPr>
          <w:p>
            <w:r>
              <w:t>“Consider this angle.”</w:t>
              <w:br/>
              <w:t>“Does this follow?”</w:t>
              <w:br/>
              <w:t>“What is a counterargument?”</w:t>
            </w:r>
          </w:p>
        </w:tc>
        <w:tc>
          <w:tcPr>
            <w:tcW w:type="dxa" w:w="2160"/>
          </w:tcPr>
          <w:p>
            <w:r>
              <w:t>Make the final call on meaning, interpretation, or narrative.</w:t>
            </w:r>
          </w:p>
        </w:tc>
        <w:tc>
          <w:tcPr>
            <w:tcW w:type="dxa" w:w="2160"/>
          </w:tcPr>
          <w:p>
            <w:r>
              <w:t>AI as reviewer is useful. AI as decision-maker erases your agency — the very thing the paper format already does. Don’t double the fraud.</w:t>
            </w:r>
          </w:p>
        </w:tc>
      </w:tr>
      <w:tr>
        <w:tc>
          <w:tcPr>
            <w:tcW w:type="dxa" w:w="2160"/>
          </w:tcPr>
          <w:p>
            <w:r>
              <w:t>2.3 Code, debug, not design.</w:t>
            </w:r>
          </w:p>
        </w:tc>
        <w:tc>
          <w:tcPr>
            <w:tcW w:type="dxa" w:w="2160"/>
          </w:tcPr>
          <w:p>
            <w:r>
              <w:t>Optimize, refactor, debug analysis code. Run data extraction pipelines.</w:t>
            </w:r>
          </w:p>
        </w:tc>
        <w:tc>
          <w:tcPr>
            <w:tcW w:type="dxa" w:w="2160"/>
          </w:tcPr>
          <w:p>
            <w:r>
              <w:t>Design the analysis, choose what to measure, interpret what it means.</w:t>
            </w:r>
          </w:p>
        </w:tc>
        <w:tc>
          <w:tcPr>
            <w:tcW w:type="dxa" w:w="2160"/>
          </w:tcPr>
          <w:p>
            <w:r>
              <w:t>Code is syntax; analysis is choice. What to include, what to exclude, what it means — these are human judgments. The RCDome four-channel architecture is a human design; the Python scripts merely execute it.</w:t>
            </w:r>
          </w:p>
        </w:tc>
      </w:tr>
    </w:tbl>
    <w:p>
      <w:pPr>
        <w:pStyle w:val="Heading1"/>
      </w:pPr>
      <w:r>
        <w:t>Phase 3 — The Check (Vigilance)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Rule</w:t>
            </w:r>
          </w:p>
        </w:tc>
        <w:tc>
          <w:tcPr>
            <w:tcW w:type="dxa" w:w="4320"/>
          </w:tcPr>
          <w:p>
            <w:r>
              <w:rPr>
                <w:b/>
              </w:rPr>
              <w:t>Reasoning</w:t>
            </w:r>
          </w:p>
        </w:tc>
      </w:tr>
      <w:tr>
        <w:tc>
          <w:tcPr>
            <w:tcW w:type="dxa" w:w="4320"/>
          </w:tcPr>
          <w:p>
            <w:r>
              <w:t>3.1 Imagination ≠ Hallucination.</w:t>
              <w:br/>
              <w:t>Know the difference.</w:t>
            </w:r>
          </w:p>
        </w:tc>
        <w:tc>
          <w:tcPr>
            <w:tcW w:type="dxa" w:w="4320"/>
          </w:tcPr>
          <w:p>
            <w:r>
              <w:t>Imagination opens real doors and tests them against reality. Hallucination builds fake doors and presents them as real. One is science; the other is counterfeit. The RCDome anti-hallucination framework (exact string match against XML source) is an example of this rule in code.</w:t>
            </w:r>
          </w:p>
        </w:tc>
      </w:tr>
      <w:tr>
        <w:tc>
          <w:tcPr>
            <w:tcW w:type="dxa" w:w="4320"/>
          </w:tcPr>
          <w:p>
            <w:r>
              <w:t>3.2 The Knock Test.</w:t>
              <w:br/>
              <w:t>Would you stake your reputation on every AI claim?</w:t>
            </w:r>
          </w:p>
        </w:tc>
        <w:tc>
          <w:tcPr>
            <w:tcW w:type="dxa" w:w="4320"/>
          </w:tcPr>
          <w:p>
            <w:r>
              <w:t>If AI gives a citation — find it. If AI asserts a fact — verify it. If AI writes code — run it. Hallucination is the default; verification is the discipline.</w:t>
            </w:r>
          </w:p>
        </w:tc>
      </w:tr>
      <w:tr>
        <w:tc>
          <w:tcPr>
            <w:tcW w:type="dxa" w:w="4320"/>
          </w:tcPr>
          <w:p>
            <w:r>
              <w:t>3.3 Three buckets.</w:t>
              <w:br/>
              <w:t>(A) I imagined this.</w:t>
              <w:br/>
              <w:t>(B) AI helped, I confirmed.</w:t>
              <w:br/>
              <w:t>(C) AI suggested, I’m unsure.</w:t>
              <w:br/>
              <w:t>Only A and B enter the paper.</w:t>
            </w:r>
          </w:p>
        </w:tc>
        <w:tc>
          <w:tcPr>
            <w:tcW w:type="dxa" w:w="4320"/>
          </w:tcPr>
          <w:p>
            <w:r>
              <w:t>Bucket C is hallucination territory. If you can’t confirm it, it doesn’t go in your name. This applies to every section — including Discussion.</w:t>
            </w:r>
          </w:p>
        </w:tc>
      </w:tr>
      <w:tr>
        <w:tc>
          <w:tcPr>
            <w:tcW w:type="dxa" w:w="4320"/>
          </w:tcPr>
          <w:p>
            <w:r>
              <w:t>3.4 Read the Introduction and Discussion aloud.</w:t>
              <w:br/>
              <w:t>Does it sound like you — or a machine?</w:t>
            </w:r>
          </w:p>
        </w:tc>
        <w:tc>
          <w:tcPr>
            <w:tcW w:type="dxa" w:w="4320"/>
          </w:tcPr>
          <w:p>
            <w:r>
              <w:t>The Methods may sound machine-like; that is correct. But if the Introduction and Discussion sound sterile, you have lost the human where it matters most. Re-inject your voice. The reader should feel a mind, not a model.</w:t>
            </w:r>
          </w:p>
        </w:tc>
      </w:tr>
    </w:tbl>
    <w:p>
      <w:pPr>
        <w:pStyle w:val="Heading1"/>
      </w:pPr>
      <w:r>
        <w:t>Phase 4 — The Supplement (Human Process)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Rule</w:t>
            </w:r>
          </w:p>
        </w:tc>
        <w:tc>
          <w:tcPr>
            <w:tcW w:type="dxa" w:w="4320"/>
          </w:tcPr>
          <w:p>
            <w:r>
              <w:rPr>
                <w:b/>
              </w:rPr>
              <w:t>Reasoning</w:t>
            </w:r>
          </w:p>
        </w:tc>
      </w:tr>
      <w:tr>
        <w:tc>
          <w:tcPr>
            <w:tcW w:type="dxa" w:w="4320"/>
          </w:tcPr>
          <w:p>
            <w:r>
              <w:t>4.1 Track changes.</w:t>
              <w:br/>
              <w:t>Keep pre-AI and post-AI versions.</w:t>
            </w:r>
          </w:p>
        </w:tc>
        <w:tc>
          <w:tcPr>
            <w:tcW w:type="dxa" w:w="4320"/>
          </w:tcPr>
          <w:p>
            <w:r>
              <w:t>Know what changed and why. If you can’t explain a change, revert it. Accountability requires traceability. This is especially important for Introduction and Discussion, where AI polish can silently become AI authorship.</w:t>
            </w:r>
          </w:p>
        </w:tc>
      </w:tr>
      <w:tr>
        <w:tc>
          <w:tcPr>
            <w:tcW w:type="dxa" w:w="4320"/>
          </w:tcPr>
          <w:p>
            <w:r>
              <w:t>4.2 Tell the messy story elsewhere.</w:t>
              <w:br/>
              <w:t>Blog, talk, thread. Share dead ends, luck, “that’s funny” moments.</w:t>
            </w:r>
          </w:p>
        </w:tc>
        <w:tc>
          <w:tcPr>
            <w:tcW w:type="dxa" w:w="4320"/>
          </w:tcPr>
          <w:p>
            <w:r>
              <w:t>The paper hides the process by design — even in the Discussion. Compensate. Let the paper be the product; let the supplement (or blog, or conference talk) be the human journey. This also engages a broader audience.</w:t>
            </w:r>
          </w:p>
        </w:tc>
      </w:tr>
      <w:tr>
        <w:tc>
          <w:tcPr>
            <w:tcW w:type="dxa" w:w="4320"/>
          </w:tcPr>
          <w:p>
            <w:r>
              <w:t>4.3 Remember what matters.</w:t>
              <w:br/>
              <w:t>The paper is the external manifestation. The science is the human thought behind it.</w:t>
            </w:r>
          </w:p>
        </w:tc>
        <w:tc>
          <w:tcPr>
            <w:tcW w:type="dxa" w:w="4320"/>
          </w:tcPr>
          <w:p>
            <w:r>
              <w:t>Innovation, intuition, imagination, guesswork — these are the science. The paper is just the container. Protect the contents. The Methods can be a sterile container; the Introduction and Discussion must carry the living thought.</w:t>
            </w:r>
          </w:p>
        </w:tc>
      </w:tr>
    </w:tbl>
    <w:p/>
    <w:p>
      <w:pPr>
        <w:pStyle w:val="Heading1"/>
      </w:pPr>
      <w:r>
        <w:t>One-Sentence Summary</w:t>
      </w:r>
    </w:p>
    <w:p>
      <w:pPr>
        <w:jc w:val="center"/>
      </w:pPr>
      <w:r>
        <w:rPr>
          <w:b/>
          <w:i/>
          <w:sz w:val="24"/>
        </w:rPr>
        <w:t>AI polishes the Methods; the human fills the Introduction and Discussion — because imagination is ours, hallucination is counterfeit, and in the age of AI slop, the human voice belongs where the thinking happens.</w:t>
      </w:r>
    </w:p>
    <w:p/>
    <w:p>
      <w:pPr>
        <w:pStyle w:val="Heading1"/>
      </w:pPr>
      <w:r>
        <w:t>Attribution</w:t>
      </w:r>
    </w:p>
    <w:p>
      <w:r>
        <w:rPr>
          <w:b/>
        </w:rPr>
        <w:t xml:space="preserve">Governance framework: </w:t>
      </w:r>
      <w:r>
        <w:t>Enrique Medina-Acosta, with AI assistance (2026).</w:t>
      </w:r>
    </w:p>
    <w:p>
      <w:r>
        <w:rPr>
          <w:b/>
        </w:rPr>
        <w:t xml:space="preserve">Inspiration: </w:t>
      </w:r>
      <w:r>
        <w:t xml:space="preserve">Tregoning, J.S. (2026). Is the scientific paper still a fraud? PLOS Biology, 24(8), e3003912. </w:t>
      </w:r>
      <w:r>
        <w:rPr>
          <w:sz w:val="18"/>
        </w:rPr>
        <w:t>https://doi.org/10.1371/journal.pbio.3003912</w:t>
      </w:r>
    </w:p>
    <w:p>
      <w:r>
        <w:rPr>
          <w:b/>
        </w:rPr>
        <w:t xml:space="preserve">Original argument revisited: </w:t>
      </w:r>
      <w:r>
        <w:t>Medawar, P. (1963). Is the scientific paper a fraud? BBC Radio talk. Reprinted in: The Strange Case of the Spotted Mice and other classic essays on science. Oxford University Press, 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