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53E757" w14:textId="77777777" w:rsidR="00784529" w:rsidRPr="00CD1CF5" w:rsidRDefault="00784529" w:rsidP="00CD1CF5">
      <w:pPr>
        <w:pStyle w:val="Ttulo1"/>
        <w:spacing w:before="0" w:line="240" w:lineRule="auto"/>
        <w:jc w:val="center"/>
        <w:rPr>
          <w:rFonts w:cstheme="majorHAnsi"/>
          <w:sz w:val="24"/>
          <w:szCs w:val="24"/>
        </w:rPr>
      </w:pPr>
      <w:r w:rsidRPr="00CD1CF5">
        <w:rPr>
          <w:rFonts w:cstheme="majorHAnsi"/>
          <w:sz w:val="24"/>
          <w:szCs w:val="24"/>
        </w:rPr>
        <w:t>SUPPLEMENTARY INFORMATION</w:t>
      </w:r>
    </w:p>
    <w:p w14:paraId="7ADEBF3B" w14:textId="77777777" w:rsidR="00784529" w:rsidRPr="00CD1CF5" w:rsidRDefault="00784529" w:rsidP="00CD1CF5">
      <w:pPr>
        <w:pStyle w:val="Ttulo1"/>
        <w:spacing w:before="0" w:line="240" w:lineRule="auto"/>
        <w:rPr>
          <w:rFonts w:cstheme="majorHAnsi"/>
          <w:sz w:val="24"/>
          <w:szCs w:val="24"/>
        </w:rPr>
      </w:pPr>
    </w:p>
    <w:p w14:paraId="4E5B3757" w14:textId="77777777" w:rsidR="00784529" w:rsidRPr="00CD1CF5" w:rsidRDefault="00784529" w:rsidP="00CD1CF5">
      <w:pPr>
        <w:pStyle w:val="Ttulo1"/>
        <w:spacing w:before="0" w:line="240" w:lineRule="auto"/>
        <w:rPr>
          <w:rFonts w:cstheme="majorHAnsi"/>
          <w:sz w:val="24"/>
          <w:szCs w:val="24"/>
        </w:rPr>
      </w:pPr>
      <w:r w:rsidRPr="00CD1CF5">
        <w:rPr>
          <w:rFonts w:cstheme="majorHAnsi"/>
          <w:sz w:val="24"/>
          <w:szCs w:val="24"/>
        </w:rPr>
        <w:t>RCDome: A Multi-Database Human Gene Atlas of Regulated Cell Death</w:t>
      </w:r>
    </w:p>
    <w:p w14:paraId="1C66D6A8" w14:textId="77777777" w:rsidR="00784529" w:rsidRPr="00CD1CF5" w:rsidRDefault="00784529" w:rsidP="00CD1CF5">
      <w:pPr>
        <w:spacing w:after="0" w:line="240" w:lineRule="auto"/>
        <w:rPr>
          <w:rFonts w:asciiTheme="majorHAnsi" w:hAnsiTheme="majorHAnsi" w:cstheme="majorHAnsi"/>
          <w:b/>
          <w:bCs/>
          <w:szCs w:val="24"/>
        </w:rPr>
      </w:pPr>
    </w:p>
    <w:p w14:paraId="30459A89"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Running title:</w:t>
      </w:r>
      <w:r w:rsidRPr="00CD1CF5">
        <w:rPr>
          <w:rFonts w:asciiTheme="majorHAnsi" w:hAnsiTheme="majorHAnsi" w:cstheme="majorHAnsi"/>
          <w:szCs w:val="24"/>
        </w:rPr>
        <w:t xml:space="preserve"> RCDome: Human RCD Gene Atlas</w:t>
      </w:r>
    </w:p>
    <w:p w14:paraId="794659C0"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Keywords</w:t>
      </w:r>
      <w:r w:rsidRPr="00CD1CF5">
        <w:rPr>
          <w:rFonts w:asciiTheme="majorHAnsi" w:hAnsiTheme="majorHAnsi" w:cstheme="majorHAnsi"/>
          <w:szCs w:val="24"/>
        </w:rPr>
        <w:t>: regulated cell death, human gene atlas, knowledge platform, multi-database integration, operational definitions, traceability</w:t>
      </w:r>
    </w:p>
    <w:p w14:paraId="1AEE0EBE" w14:textId="77777777" w:rsidR="00784529" w:rsidRPr="00CD1CF5" w:rsidRDefault="00784529" w:rsidP="00CD1CF5">
      <w:pPr>
        <w:spacing w:after="0" w:line="240" w:lineRule="auto"/>
        <w:rPr>
          <w:rFonts w:asciiTheme="majorHAnsi" w:hAnsiTheme="majorHAnsi" w:cstheme="majorHAnsi"/>
          <w:szCs w:val="24"/>
        </w:rPr>
      </w:pPr>
    </w:p>
    <w:p w14:paraId="39B8496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Emanuell Rodrigues de Souza</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Victor dos Santos Lopes</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Higor Almeida Cordeiro Nogueira, and Enrique Medina-Acosta*</w:t>
      </w:r>
    </w:p>
    <w:p w14:paraId="6DE46E45" w14:textId="77777777" w:rsidR="00784529" w:rsidRPr="00CD1CF5" w:rsidRDefault="00784529" w:rsidP="00CD1CF5">
      <w:pPr>
        <w:spacing w:after="0" w:line="240" w:lineRule="auto"/>
        <w:rPr>
          <w:rFonts w:asciiTheme="majorHAnsi" w:hAnsiTheme="majorHAnsi" w:cstheme="majorHAnsi"/>
          <w:szCs w:val="24"/>
          <w:lang w:val="pt-BR"/>
        </w:rPr>
      </w:pPr>
    </w:p>
    <w:p w14:paraId="6F675150"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Laboratório de Biotecnologia, Centro de Biociências e Biotecnologia, Universidade Estadual do Norte Fluminense, Avenida Alberto Lamego 2000, Parque California, Campos dos Goytacazes, RJ, CEP 28015-602, Brazil.</w:t>
      </w:r>
    </w:p>
    <w:p w14:paraId="69A75AD4" w14:textId="77777777" w:rsidR="00784529" w:rsidRPr="00CD1CF5" w:rsidRDefault="00784529" w:rsidP="00CD1CF5">
      <w:pPr>
        <w:spacing w:after="0" w:line="240" w:lineRule="auto"/>
        <w:rPr>
          <w:rFonts w:asciiTheme="majorHAnsi" w:hAnsiTheme="majorHAnsi" w:cstheme="majorHAnsi"/>
          <w:szCs w:val="24"/>
          <w:lang w:val="pt-BR"/>
        </w:rPr>
      </w:pPr>
    </w:p>
    <w:p w14:paraId="54545F17"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w:t>
      </w:r>
      <w:r w:rsidRPr="00CD1CF5">
        <w:rPr>
          <w:rFonts w:asciiTheme="majorHAnsi" w:hAnsiTheme="majorHAnsi" w:cstheme="majorHAnsi"/>
          <w:b/>
          <w:bCs/>
          <w:szCs w:val="24"/>
          <w:lang w:val="pt-BR"/>
        </w:rPr>
        <w:t>Corresponding author</w:t>
      </w:r>
      <w:r w:rsidRPr="00CD1CF5">
        <w:rPr>
          <w:rFonts w:asciiTheme="majorHAnsi" w:hAnsiTheme="majorHAnsi" w:cstheme="majorHAnsi"/>
          <w:szCs w:val="24"/>
          <w:lang w:val="pt-BR"/>
        </w:rPr>
        <w:t xml:space="preserve">: Enrique Medina-Acosta: </w:t>
      </w:r>
      <w:hyperlink r:id="rId8" w:history="1">
        <w:r w:rsidRPr="00CD1CF5">
          <w:rPr>
            <w:rStyle w:val="Hyperlink"/>
            <w:rFonts w:asciiTheme="majorHAnsi" w:hAnsiTheme="majorHAnsi" w:cstheme="majorHAnsi"/>
            <w:szCs w:val="24"/>
            <w:lang w:val="pt-BR"/>
          </w:rPr>
          <w:t>quique@uenf.br</w:t>
        </w:r>
      </w:hyperlink>
    </w:p>
    <w:p w14:paraId="43D0DAA9" w14:textId="77777777" w:rsidR="00784529" w:rsidRPr="00CD1CF5" w:rsidRDefault="00784529" w:rsidP="00CD1CF5">
      <w:pPr>
        <w:spacing w:after="0" w:line="240" w:lineRule="auto"/>
        <w:rPr>
          <w:rFonts w:asciiTheme="majorHAnsi" w:hAnsiTheme="majorHAnsi" w:cstheme="majorHAnsi"/>
          <w:szCs w:val="24"/>
          <w:lang w:val="pt-BR"/>
        </w:rPr>
      </w:pPr>
    </w:p>
    <w:p w14:paraId="3E614F0D"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b/>
          <w:bCs/>
          <w:szCs w:val="24"/>
          <w:lang w:val="pt-BR"/>
        </w:rPr>
        <w:t>Author e-mails</w:t>
      </w:r>
      <w:r w:rsidRPr="00CD1CF5">
        <w:rPr>
          <w:rFonts w:asciiTheme="majorHAnsi" w:hAnsiTheme="majorHAnsi" w:cstheme="majorHAnsi"/>
          <w:szCs w:val="24"/>
          <w:lang w:val="pt-BR"/>
        </w:rPr>
        <w:t>:</w:t>
      </w:r>
    </w:p>
    <w:p w14:paraId="36226E67"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Emanuell Rodrigues de Souza: </w:t>
      </w:r>
      <w:hyperlink r:id="rId9" w:history="1">
        <w:r w:rsidRPr="00CD1CF5">
          <w:rPr>
            <w:rStyle w:val="Hyperlink"/>
            <w:rFonts w:asciiTheme="majorHAnsi" w:hAnsiTheme="majorHAnsi" w:cstheme="majorHAnsi"/>
            <w:szCs w:val="24"/>
            <w:lang w:val="pt-BR"/>
          </w:rPr>
          <w:t>souza.ers00@gmail.com</w:t>
        </w:r>
      </w:hyperlink>
    </w:p>
    <w:p w14:paraId="61F24699"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Victor dos Santos Lopes: </w:t>
      </w:r>
      <w:hyperlink r:id="rId10" w:history="1">
        <w:r w:rsidRPr="00CD1CF5">
          <w:rPr>
            <w:rStyle w:val="Hyperlink"/>
            <w:rFonts w:asciiTheme="majorHAnsi" w:hAnsiTheme="majorHAnsi" w:cstheme="majorHAnsi"/>
            <w:szCs w:val="24"/>
            <w:lang w:val="pt-BR"/>
          </w:rPr>
          <w:t>victor94santos.lopes@gmail.com</w:t>
        </w:r>
      </w:hyperlink>
    </w:p>
    <w:p w14:paraId="268B4BFA"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Higor Almeida Cordeiro Nogueira: </w:t>
      </w:r>
      <w:hyperlink r:id="rId11" w:history="1">
        <w:r w:rsidRPr="00CD1CF5">
          <w:rPr>
            <w:rStyle w:val="Hyperlink"/>
            <w:rFonts w:asciiTheme="majorHAnsi" w:hAnsiTheme="majorHAnsi" w:cstheme="majorHAnsi"/>
            <w:szCs w:val="24"/>
            <w:lang w:val="pt-BR"/>
          </w:rPr>
          <w:t>higoralmeida1995@gmail.com</w:t>
        </w:r>
      </w:hyperlink>
    </w:p>
    <w:p w14:paraId="48EE7AFB"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Enrique Medina-Acosta: </w:t>
      </w:r>
      <w:hyperlink r:id="rId12" w:history="1">
        <w:r w:rsidRPr="00CD1CF5">
          <w:rPr>
            <w:rStyle w:val="Hyperlink"/>
            <w:rFonts w:asciiTheme="majorHAnsi" w:hAnsiTheme="majorHAnsi" w:cstheme="majorHAnsi"/>
            <w:szCs w:val="24"/>
          </w:rPr>
          <w:t>quique@uenf.br</w:t>
        </w:r>
      </w:hyperlink>
    </w:p>
    <w:p w14:paraId="7FF0BBC2" w14:textId="77777777" w:rsidR="00784529" w:rsidRPr="00CD1CF5" w:rsidRDefault="00784529" w:rsidP="00CD1CF5">
      <w:pPr>
        <w:spacing w:after="0" w:line="240" w:lineRule="auto"/>
        <w:rPr>
          <w:rFonts w:asciiTheme="majorHAnsi" w:hAnsiTheme="majorHAnsi" w:cstheme="majorHAnsi"/>
          <w:szCs w:val="24"/>
        </w:rPr>
      </w:pPr>
    </w:p>
    <w:p w14:paraId="515FF3BE" w14:textId="77777777" w:rsidR="00784529" w:rsidRPr="00CD1CF5" w:rsidRDefault="00784529" w:rsidP="00CD1CF5">
      <w:pPr>
        <w:spacing w:after="0" w:line="240" w:lineRule="auto"/>
        <w:rPr>
          <w:rFonts w:asciiTheme="majorHAnsi" w:hAnsiTheme="majorHAnsi" w:cstheme="majorHAnsi"/>
          <w:szCs w:val="24"/>
          <w:vertAlign w:val="superscript"/>
        </w:rPr>
        <w:sectPr w:rsidR="00784529" w:rsidRPr="00CD1CF5" w:rsidSect="00784529">
          <w:headerReference w:type="default" r:id="rId13"/>
          <w:pgSz w:w="11906" w:h="16838"/>
          <w:pgMar w:top="1417" w:right="1417" w:bottom="1417" w:left="1417" w:header="720" w:footer="720" w:gutter="0"/>
          <w:cols w:space="720"/>
          <w:docGrid w:linePitch="360"/>
        </w:sectPr>
      </w:pPr>
      <w:r w:rsidRPr="00CD1CF5">
        <w:rPr>
          <w:rFonts w:asciiTheme="majorHAnsi" w:hAnsiTheme="majorHAnsi" w:cstheme="majorHAnsi"/>
          <w:szCs w:val="24"/>
          <w:vertAlign w:val="superscript"/>
        </w:rPr>
        <w:t xml:space="preserve"># </w:t>
      </w:r>
      <w:r w:rsidRPr="00CD1CF5">
        <w:rPr>
          <w:rFonts w:asciiTheme="majorHAnsi" w:hAnsiTheme="majorHAnsi" w:cstheme="majorHAnsi"/>
          <w:szCs w:val="24"/>
        </w:rPr>
        <w:t>Authors share first authorship</w:t>
      </w:r>
    </w:p>
    <w:p w14:paraId="69169A03"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lastRenderedPageBreak/>
        <w:t>Supplementary Notes</w:t>
      </w:r>
    </w:p>
    <w:p w14:paraId="2C1A774E" w14:textId="77777777" w:rsidR="00BB22A7" w:rsidRPr="00CD1CF5" w:rsidRDefault="00BB22A7" w:rsidP="00CD1CF5">
      <w:pPr>
        <w:pStyle w:val="Ttulo1"/>
        <w:spacing w:before="0" w:line="240" w:lineRule="auto"/>
        <w:rPr>
          <w:rFonts w:cstheme="majorHAnsi"/>
          <w:sz w:val="24"/>
          <w:szCs w:val="24"/>
        </w:rPr>
      </w:pPr>
    </w:p>
    <w:p w14:paraId="025DA83E"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Supplementary Note S1 — Canonical-Terminology Pre-Audit and 53-Entity Expert Nomenclature and Ontological Adjudication</w:t>
      </w:r>
    </w:p>
    <w:p w14:paraId="5E0BFD4E"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0D018EA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0FCB5E90"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The canonical-terminology pre-audit</w:t>
      </w:r>
    </w:p>
    <w:p w14:paraId="07F77A6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Before any biological adjudication, RCDome terminology was subjected to a dedicated </w:t>
      </w:r>
      <w:r w:rsidRPr="00CD1CF5">
        <w:rPr>
          <w:rFonts w:asciiTheme="majorHAnsi" w:hAnsiTheme="majorHAnsi" w:cstheme="majorHAnsi"/>
          <w:b/>
          <w:color w:val="auto"/>
          <w:szCs w:val="24"/>
        </w:rPr>
        <w:t>pre-audit</w:t>
      </w:r>
      <w:r w:rsidRPr="00CD1CF5">
        <w:rPr>
          <w:rFonts w:asciiTheme="majorHAnsi" w:hAnsiTheme="majorHAnsi" w:cstheme="majorHAnsi"/>
          <w:color w:val="auto"/>
          <w:szCs w:val="24"/>
        </w:rPr>
        <w:t xml:space="preserve"> of the word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and its variants across the manuscript, supplementary information, tables, decoder, matrix metadata, and the web application.</w:t>
      </w:r>
    </w:p>
    <w:p w14:paraId="3C1E9A5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risk being managed was semantic conflation: a reader could interpret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(vocabulary normalization) as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(biological establishment), and thereby read the 53-entity vocabulary as a list of 53 established cell-death modalities.</w:t>
      </w:r>
    </w:p>
    <w:p w14:paraId="7D13601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pre-audit therefore required that </w:t>
      </w:r>
      <w:r w:rsidRPr="00CD1CF5">
        <w:rPr>
          <w:rFonts w:asciiTheme="majorHAnsi" w:hAnsiTheme="majorHAnsi" w:cstheme="majorHAnsi"/>
          <w:b/>
          <w:color w:val="auto"/>
          <w:szCs w:val="24"/>
        </w:rPr>
        <w:t>every</w:t>
      </w:r>
      <w:r w:rsidRPr="00CD1CF5">
        <w:rPr>
          <w:rFonts w:asciiTheme="majorHAnsi" w:hAnsiTheme="majorHAnsi" w:cstheme="majorHAnsi"/>
          <w:color w:val="auto"/>
          <w:szCs w:val="24"/>
        </w:rPr>
        <w:t xml:space="preserve"> occurrence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be adjudicated semantically into one of four categories:</w:t>
      </w:r>
    </w:p>
    <w:p w14:paraId="6B5AD29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vocabulary normalization</w:t>
      </w:r>
      <w:r w:rsidRPr="00CD1CF5">
        <w:rPr>
          <w:rFonts w:asciiTheme="majorHAnsi" w:hAnsiTheme="majorHAnsi" w:cstheme="majorHAnsi"/>
          <w:color w:val="auto"/>
          <w:szCs w:val="24"/>
        </w:rPr>
        <w:t xml:space="preserve"> — the term was renamed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"normalized"</w:t>
      </w:r>
      <w:r w:rsidRPr="00CD1CF5">
        <w:rPr>
          <w:rFonts w:asciiTheme="majorHAnsi" w:hAnsiTheme="majorHAnsi" w:cstheme="majorHAnsi"/>
          <w:color w:val="auto"/>
          <w:szCs w:val="24"/>
        </w:rPr>
        <w:t>;</w:t>
      </w:r>
    </w:p>
    <w:p w14:paraId="164E8C9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neutral entity designation</w:t>
      </w:r>
      <w:r w:rsidRPr="00CD1CF5">
        <w:rPr>
          <w:rFonts w:asciiTheme="majorHAnsi" w:hAnsiTheme="majorHAnsi" w:cstheme="majorHAnsi"/>
          <w:color w:val="auto"/>
          <w:szCs w:val="24"/>
        </w:rPr>
        <w:t xml:space="preserve"> — the term was replaced by </w:t>
      </w:r>
      <w:r w:rsidRPr="00CD1CF5">
        <w:rPr>
          <w:rFonts w:asciiTheme="majorHAnsi" w:hAnsiTheme="majorHAnsi" w:cstheme="majorHAnsi"/>
          <w:i/>
          <w:color w:val="auto"/>
          <w:szCs w:val="24"/>
        </w:rPr>
        <w:t>"RCD-related entity"</w:t>
      </w:r>
      <w:r w:rsidRPr="00CD1CF5">
        <w:rPr>
          <w:rFonts w:asciiTheme="majorHAnsi" w:hAnsiTheme="majorHAnsi" w:cstheme="majorHAnsi"/>
          <w:color w:val="auto"/>
          <w:szCs w:val="24"/>
        </w:rPr>
        <w:t>;</w:t>
      </w:r>
    </w:p>
    <w:p w14:paraId="5E74D95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biological canonicality</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was retained only where the claim of biological establishment was scientifically justified; or</w:t>
      </w:r>
    </w:p>
    <w:p w14:paraId="43C3DAC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bona fide modality status</w:t>
      </w:r>
      <w:r w:rsidRPr="00CD1CF5">
        <w:rPr>
          <w:rFonts w:asciiTheme="majorHAnsi" w:hAnsiTheme="majorHAnsi" w:cstheme="majorHAnsi"/>
          <w:color w:val="auto"/>
          <w:szCs w:val="24"/>
        </w:rPr>
        <w:t xml:space="preserve"> — the term </w:t>
      </w:r>
      <w:r w:rsidRPr="00CD1CF5">
        <w:rPr>
          <w:rFonts w:asciiTheme="majorHAnsi" w:hAnsiTheme="majorHAnsi" w:cstheme="majorHAnsi"/>
          <w:i/>
          <w:color w:val="auto"/>
          <w:szCs w:val="24"/>
        </w:rPr>
        <w:t>"bona fide RCD modality"</w:t>
      </w:r>
      <w:r w:rsidRPr="00CD1CF5">
        <w:rPr>
          <w:rFonts w:asciiTheme="majorHAnsi" w:hAnsiTheme="majorHAnsi" w:cstheme="majorHAnsi"/>
          <w:color w:val="auto"/>
          <w:szCs w:val="24"/>
        </w:rPr>
        <w:t xml:space="preserve"> was used for L1 entities admitted through the hard gates.</w:t>
      </w:r>
    </w:p>
    <w:p w14:paraId="4BAD69F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A global find-and-replace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was deliberately prohibited, because it would have altered legitimate biological uses (e.g., </w:t>
      </w:r>
      <w:r w:rsidRPr="00CD1CF5">
        <w:rPr>
          <w:rFonts w:asciiTheme="majorHAnsi" w:hAnsiTheme="majorHAnsi" w:cstheme="majorHAnsi"/>
          <w:i/>
          <w:color w:val="auto"/>
          <w:szCs w:val="24"/>
        </w:rPr>
        <w:t>"canonical executors"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apoptosis"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inflammasome"</w:t>
      </w:r>
      <w:r w:rsidRPr="00CD1CF5">
        <w:rPr>
          <w:rFonts w:asciiTheme="majorHAnsi" w:hAnsiTheme="majorHAnsi" w:cstheme="majorHAnsi"/>
          <w:color w:val="auto"/>
          <w:szCs w:val="24"/>
        </w:rPr>
        <w:t>) and corrupted scientific meaning.</w:t>
      </w:r>
    </w:p>
    <w:p w14:paraId="56C65EB3"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The 53-entity expert nomenclature and ontological adjudication</w:t>
      </w:r>
    </w:p>
    <w:p w14:paraId="132BE78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Each of the 53 canonicalized RCD-related entities was then assessed against a five-level ontology and a set of hard gates.</w:t>
      </w:r>
    </w:p>
    <w:p w14:paraId="165EBCA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Ontology levels.</w:t>
      </w:r>
      <w:r w:rsidRPr="00CD1CF5">
        <w:rPr>
          <w:rFonts w:asciiTheme="majorHAnsi" w:hAnsiTheme="majorHAnsi" w:cstheme="majorHAnsi"/>
          <w:color w:val="auto"/>
          <w:szCs w:val="24"/>
        </w:rPr>
        <w:t xml:space="preserve"> L1 (bona fide RCD modality — distinct causal machinery and functional necessity); L2 (subtype — mechanistic subdivision of a parent modality); L3 (trigger — an initiating event that is not itself a complete death mechanism); L4 (functional/contextual — context-dependent programs, morphological outcomes, </w:t>
      </w:r>
      <w:r w:rsidRPr="00CD1CF5">
        <w:rPr>
          <w:rFonts w:asciiTheme="majorHAnsi" w:hAnsiTheme="majorHAnsi" w:cstheme="majorHAnsi"/>
          <w:color w:val="auto"/>
          <w:szCs w:val="24"/>
        </w:rPr>
        <w:lastRenderedPageBreak/>
        <w:t>cell-type-specific and differentiation-associated phenomena); L5 (generic/umbrella/legacy/taxon/emerging).</w:t>
      </w:r>
    </w:p>
    <w:p w14:paraId="4B772D0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Hard gates G0–G6.</w:t>
      </w:r>
      <w:r w:rsidRPr="00CD1CF5">
        <w:rPr>
          <w:rFonts w:asciiTheme="majorHAnsi" w:hAnsiTheme="majorHAnsi" w:cstheme="majorHAnsi"/>
          <w:color w:val="auto"/>
          <w:szCs w:val="24"/>
        </w:rPr>
        <w:t xml:space="preserve"> G0 whole-cell death; G1 identifiable causal machinery (obligatory for L1); G2 functional necessity and distinguishability (obligatory for L1); G3 supportive phenotype/trigger; G4 published naming/provenance; G5 independent replication (defines maturity); G6 species scope. Naming alone (G4) is not evidence of mechanistic independence.</w:t>
      </w:r>
    </w:p>
    <w:p w14:paraId="360641E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Association vs modality.</w:t>
      </w:r>
      <w:r w:rsidRPr="00CD1CF5">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CD1CF5">
        <w:rPr>
          <w:rFonts w:asciiTheme="majorHAnsi" w:hAnsiTheme="majorHAnsi" w:cstheme="majorHAnsi"/>
          <w:i/>
          <w:color w:val="auto"/>
          <w:szCs w:val="24"/>
        </w:rPr>
        <w:t>"death signature"</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"death machinery"</w:t>
      </w:r>
      <w:r w:rsidRPr="00CD1CF5">
        <w:rPr>
          <w:rFonts w:asciiTheme="majorHAnsi" w:hAnsiTheme="majorHAnsi" w:cstheme="majorHAnsi"/>
          <w:color w:val="auto"/>
          <w:szCs w:val="24"/>
        </w:rPr>
        <w:t xml:space="preserve"> unless the evidence classification supports that statement; the preferred formulation is </w:t>
      </w:r>
      <w:r w:rsidRPr="00CD1CF5">
        <w:rPr>
          <w:rFonts w:asciiTheme="majorHAnsi" w:hAnsiTheme="majorHAnsi" w:cstheme="majorHAnsi"/>
          <w:i/>
          <w:color w:val="auto"/>
          <w:szCs w:val="24"/>
        </w:rPr>
        <w:t>"genes associated with [entity] in RCDome"</w:t>
      </w:r>
      <w:r w:rsidRPr="00CD1CF5">
        <w:rPr>
          <w:rFonts w:asciiTheme="majorHAnsi" w:hAnsiTheme="majorHAnsi" w:cstheme="majorHAnsi"/>
          <w:color w:val="auto"/>
          <w:szCs w:val="24"/>
        </w:rPr>
        <w:t>.</w:t>
      </w:r>
    </w:p>
    <w:p w14:paraId="291AF9C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Uncertainty and provenance.</w:t>
      </w:r>
      <w:r w:rsidRPr="00CD1CF5">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0AED56B6"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The propagation governance gate</w:t>
      </w:r>
    </w:p>
    <w:p w14:paraId="4E242A8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audit established a rule that has since governed all subsequent corrections: </w:t>
      </w:r>
      <w:r w:rsidRPr="00CD1CF5">
        <w:rPr>
          <w:rFonts w:asciiTheme="majorHAnsi" w:hAnsiTheme="majorHAnsi" w:cstheme="majorHAnsi"/>
          <w:b/>
          <w:color w:val="auto"/>
          <w:szCs w:val="24"/>
        </w:rPr>
        <w:t>a change is not considered implemented when the authoritative source has been corrected alone.</w:t>
      </w:r>
    </w:p>
    <w:p w14:paraId="5C816A6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Every accepted adjudication must be propagated:</w:t>
      </w:r>
    </w:p>
    <w:p w14:paraId="6BDB723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horizontally</w:t>
      </w:r>
      <w:r w:rsidRPr="00CD1CF5">
        <w:rPr>
          <w:rFonts w:asciiTheme="majorHAnsi" w:hAnsiTheme="majorHAnsi" w:cstheme="majorHAnsi"/>
          <w:color w:val="auto"/>
          <w:szCs w:val="24"/>
        </w:rPr>
        <w:t xml:space="preserve"> —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5CBA8E4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vertically</w:t>
      </w:r>
      <w:r w:rsidRPr="00CD1CF5">
        <w:rPr>
          <w:rFonts w:asciiTheme="majorHAnsi" w:hAnsiTheme="majorHAnsi" w:cstheme="majorHAnsi"/>
          <w:color w:val="auto"/>
          <w:szCs w:val="24"/>
        </w:rPr>
        <w:t xml:space="preserve"> — through every dependent representation derived from it (counts, group distributions, summaries, labels, colors, tooltips, and narrative prose).</w:t>
      </w:r>
    </w:p>
    <w:p w14:paraId="7BF177B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798B52B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Any residual disagreement between the authoritative adjudicated source and a downstream artifact is treated as a propagation failure and recorded — original state, adjudicated state, affected dependency, stale representation, corrective action, and post-correction verification — never silently repaired.</w:t>
      </w:r>
    </w:p>
    <w:p w14:paraId="70F22F24"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Traceability and reproducibility</w:t>
      </w:r>
    </w:p>
    <w:p w14:paraId="2603FF16" w14:textId="754901A6" w:rsidR="00BB22A7" w:rsidRPr="00CD1CF5" w:rsidRDefault="00BB22A7" w:rsidP="00CD1CF5">
      <w:pPr>
        <w:spacing w:line="240" w:lineRule="auto"/>
        <w:rPr>
          <w:rFonts w:asciiTheme="majorHAnsi" w:hAnsiTheme="majorHAnsi" w:cstheme="majorHAnsi"/>
          <w:szCs w:val="24"/>
        </w:rPr>
      </w:pPr>
      <w:r w:rsidRPr="00CD1CF5">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w:t>
      </w:r>
      <w:r w:rsidRPr="00CD1CF5">
        <w:rPr>
          <w:rFonts w:asciiTheme="majorHAnsi" w:hAnsiTheme="majorHAnsi" w:cstheme="majorHAnsi"/>
          <w:color w:val="auto"/>
          <w:szCs w:val="24"/>
        </w:rPr>
        <w:lastRenderedPageBreak/>
        <w:t xml:space="preserve">rather than overwritten, preserving the history of the project. This propagation gate — </w:t>
      </w:r>
      <w:r w:rsidRPr="00CD1CF5">
        <w:rPr>
          <w:rFonts w:asciiTheme="majorHAnsi" w:hAnsiTheme="majorHAnsi" w:cstheme="majorHAnsi"/>
          <w:b/>
          <w:color w:val="auto"/>
          <w:szCs w:val="24"/>
        </w:rPr>
        <w:t>adjudicated → propagated → independently verified</w:t>
      </w:r>
      <w:r w:rsidRPr="00CD1CF5">
        <w:rPr>
          <w:rFonts w:asciiTheme="majorHAnsi" w:hAnsiTheme="majorHAnsi" w:cstheme="majorHAnsi"/>
          <w:color w:val="auto"/>
          <w:szCs w:val="24"/>
        </w:rPr>
        <w:t xml:space="preserve"> — is the final governance check before an audit is declared complete, and it is re-run after any subsequent modification to guarantee internal concordance across the entire RCDome ecosystem.</w:t>
      </w:r>
    </w:p>
    <w:p w14:paraId="70698E15" w14:textId="583991B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S2</w:t>
      </w:r>
      <w:r w:rsidR="001069E6">
        <w:rPr>
          <w:rFonts w:cstheme="majorHAnsi"/>
          <w:sz w:val="24"/>
          <w:szCs w:val="24"/>
        </w:rPr>
        <w:t xml:space="preserve"> -</w:t>
      </w:r>
      <w:r w:rsidRPr="00CD1CF5">
        <w:rPr>
          <w:rFonts w:cstheme="majorHAnsi"/>
          <w:sz w:val="24"/>
          <w:szCs w:val="24"/>
        </w:rPr>
        <w:t xml:space="preserve"> </w:t>
      </w:r>
      <w:r w:rsidR="00000000" w:rsidRPr="00CD1CF5">
        <w:rPr>
          <w:rFonts w:cstheme="majorHAnsi"/>
          <w:sz w:val="24"/>
          <w:szCs w:val="24"/>
        </w:rPr>
        <w:t>RCDome: Model-Selection Benchmark (CoT + Self-Provided Loop)</w:t>
      </w:r>
    </w:p>
    <w:p w14:paraId="1C7CB7C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model-selection benchmark, which compared three functional-role classifiers on 26 well-established gene-RCD pairs and selected a self-provided governance loop as the role-classification engine.</w:t>
      </w:r>
    </w:p>
    <w:p w14:paraId="0C3F08B3" w14:textId="77777777" w:rsidR="00DB4E22" w:rsidRPr="00CD1CF5" w:rsidRDefault="00DB4E22" w:rsidP="00CD1CF5">
      <w:pPr>
        <w:pStyle w:val="Ttulo2"/>
        <w:spacing w:before="0" w:line="240" w:lineRule="auto"/>
        <w:rPr>
          <w:rFonts w:cstheme="majorHAnsi"/>
          <w:szCs w:val="24"/>
        </w:rPr>
      </w:pPr>
    </w:p>
    <w:p w14:paraId="77A3731B" w14:textId="57F279FF"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5483D1E3"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with known functional roles, in three strata:</w:t>
      </w:r>
    </w:p>
    <w:p w14:paraId="6017CDB3"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10 true EXECUTORS: BAX, CASP3, CASP8, CASP9, CYCS (Apoptosis); MLKL, RIPK3 (Necroptosis); GSDMD, GSDME, CASP1 (Pyroptosis).</w:t>
      </w:r>
    </w:p>
    <w:p w14:paraId="0C3B3CDF"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true REGULATORS: BCL2, BCL2L1, XIAP, TP53 (Apoptosis); GPX4, ACSL4, AIFM2 (Ferroptosis); BECN1 (Autophagy).</w:t>
      </w:r>
    </w:p>
    <w:p w14:paraId="579AFF9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NEGATIVE controls: GPX4/Pyroptosis, MLKL/Ferroptosis, CASP3/Necroptosis, BAX/Necroptosis, GSDMD/Ferroptosis, CASP1/Apoptosis, MLKL/Apoptosis, GSDMD/Necroptosis.</w:t>
      </w:r>
    </w:p>
    <w:p w14:paraId="1BD969B6" w14:textId="77777777" w:rsidR="00DB4E22" w:rsidRPr="00CD1CF5" w:rsidRDefault="00DB4E22" w:rsidP="00CD1CF5">
      <w:pPr>
        <w:spacing w:after="0" w:line="240" w:lineRule="auto"/>
        <w:rPr>
          <w:rFonts w:asciiTheme="majorHAnsi" w:hAnsiTheme="majorHAnsi" w:cstheme="majorHAnsi"/>
          <w:szCs w:val="24"/>
        </w:rPr>
      </w:pPr>
    </w:p>
    <w:p w14:paraId="704D2A9C" w14:textId="2362AED2"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26 pairs comprise 18 positive pairs (the 18 unique positive genes: 10 executors plus 8 regulators) plus 8 form-mismatch negatives that reuse 8 of those genes with an incorrect form.</w:t>
      </w:r>
    </w:p>
    <w:p w14:paraId="58F3FDF6" w14:textId="77777777" w:rsidR="00DB4E22" w:rsidRPr="00CD1CF5" w:rsidRDefault="00DB4E22" w:rsidP="00CD1CF5">
      <w:pPr>
        <w:spacing w:after="0" w:line="240" w:lineRule="auto"/>
        <w:rPr>
          <w:rFonts w:asciiTheme="majorHAnsi" w:hAnsiTheme="majorHAnsi" w:cstheme="majorHAnsi"/>
          <w:szCs w:val="24"/>
        </w:rPr>
      </w:pPr>
    </w:p>
    <w:p w14:paraId="5B68972F" w14:textId="56717074"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Each pair was submitted to all three models in the same run with the identical regulatory-aware prompt (mechanistic, role, direction).</w:t>
      </w:r>
    </w:p>
    <w:p w14:paraId="1F13DC2D" w14:textId="77777777" w:rsidR="00DB4E22" w:rsidRPr="00CD1CF5" w:rsidRDefault="00DB4E22" w:rsidP="00CD1CF5">
      <w:pPr>
        <w:spacing w:after="0" w:line="240" w:lineRule="auto"/>
        <w:rPr>
          <w:rFonts w:asciiTheme="majorHAnsi" w:hAnsiTheme="majorHAnsi" w:cstheme="majorHAnsi"/>
          <w:szCs w:val="24"/>
        </w:rPr>
      </w:pPr>
    </w:p>
    <w:p w14:paraId="567CD14C" w14:textId="7EB9202A"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6474230C" w14:textId="77777777" w:rsidR="00DB4E22" w:rsidRPr="00CD1CF5" w:rsidRDefault="00DB4E22" w:rsidP="00CD1CF5">
      <w:pPr>
        <w:pStyle w:val="Ttulo2"/>
        <w:spacing w:before="0" w:line="240" w:lineRule="auto"/>
        <w:rPr>
          <w:rFonts w:cstheme="majorHAnsi"/>
          <w:szCs w:val="24"/>
        </w:rPr>
      </w:pPr>
    </w:p>
    <w:p w14:paraId="0D7627AE" w14:textId="36974663" w:rsidR="00A92B80" w:rsidRPr="00CD1CF5" w:rsidRDefault="00000000" w:rsidP="00CD1CF5">
      <w:pPr>
        <w:pStyle w:val="Ttulo2"/>
        <w:spacing w:before="0" w:line="240" w:lineRule="auto"/>
        <w:rPr>
          <w:rFonts w:cstheme="majorHAnsi"/>
          <w:szCs w:val="24"/>
        </w:rPr>
      </w:pPr>
      <w:r w:rsidRPr="00CD1CF5">
        <w:rPr>
          <w:rFonts w:cstheme="majorHAnsi"/>
          <w:szCs w:val="24"/>
        </w:rPr>
        <w:t>The self-provided loop (adopted)</w:t>
      </w:r>
    </w:p>
    <w:p w14:paraId="08DCF43D"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winning arm is a tool-call loop on deepseek-v4-pro (thinking mode, reasoning_effort=max) with: three-fold self-consistency voting; six logic rules; and three self-provided fields the model must state in every call - its molecular mechanism, its known RCD form(s), and the single form its role belongs to (role_form). Three self-consistency rules then check those statements: an executor-</w:t>
      </w:r>
      <w:r w:rsidRPr="00CD1CF5">
        <w:rPr>
          <w:rFonts w:asciiTheme="majorHAnsi" w:hAnsiTheme="majorHAnsi" w:cstheme="majorHAnsi"/>
          <w:szCs w:val="24"/>
        </w:rPr>
        <w:lastRenderedPageBreak/>
        <w:t>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6699D7C2" w14:textId="77777777" w:rsidR="00784529" w:rsidRPr="00CD1CF5" w:rsidRDefault="00784529" w:rsidP="00CD1CF5">
      <w:pPr>
        <w:spacing w:after="0" w:line="240" w:lineRule="auto"/>
        <w:rPr>
          <w:rFonts w:asciiTheme="majorHAnsi" w:hAnsiTheme="majorHAnsi" w:cstheme="majorHAnsi"/>
          <w:szCs w:val="24"/>
        </w:rPr>
      </w:pPr>
    </w:p>
    <w:p w14:paraId="36F727AF"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A92B80" w:rsidRPr="00CD1CF5" w14:paraId="600C1E93"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2BA483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Metric</w:t>
            </w:r>
          </w:p>
        </w:tc>
        <w:tc>
          <w:tcPr>
            <w:tcW w:w="2160" w:type="dxa"/>
          </w:tcPr>
          <w:p w14:paraId="7F71C93C"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w:t>
            </w:r>
          </w:p>
        </w:tc>
        <w:tc>
          <w:tcPr>
            <w:tcW w:w="2160" w:type="dxa"/>
          </w:tcPr>
          <w:p w14:paraId="4B41FFC7"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deepseek-reasoner</w:t>
            </w:r>
          </w:p>
        </w:tc>
        <w:tc>
          <w:tcPr>
            <w:tcW w:w="2160" w:type="dxa"/>
          </w:tcPr>
          <w:p w14:paraId="3DFE4E3C"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self-provided loop (v11)</w:t>
            </w:r>
          </w:p>
        </w:tc>
      </w:tr>
      <w:tr w:rsidR="00A92B80" w:rsidRPr="00CD1CF5" w14:paraId="49A560B6"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BFDD1E1"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Combined accuracy</w:t>
            </w:r>
          </w:p>
        </w:tc>
        <w:tc>
          <w:tcPr>
            <w:tcW w:w="2160" w:type="dxa"/>
          </w:tcPr>
          <w:p w14:paraId="636994D4"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21/26 (81%)</w:t>
            </w:r>
          </w:p>
        </w:tc>
        <w:tc>
          <w:tcPr>
            <w:tcW w:w="2160" w:type="dxa"/>
          </w:tcPr>
          <w:p w14:paraId="647F7F0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19/26 (73%)</w:t>
            </w:r>
          </w:p>
        </w:tc>
        <w:tc>
          <w:tcPr>
            <w:tcW w:w="2160" w:type="dxa"/>
          </w:tcPr>
          <w:p w14:paraId="0A390C9C"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27709933"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87C0E1E"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sensitivity</w:t>
            </w:r>
          </w:p>
        </w:tc>
        <w:tc>
          <w:tcPr>
            <w:tcW w:w="2160" w:type="dxa"/>
          </w:tcPr>
          <w:p w14:paraId="7A36733B"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9/10 (90%)</w:t>
            </w:r>
          </w:p>
        </w:tc>
        <w:tc>
          <w:tcPr>
            <w:tcW w:w="2160" w:type="dxa"/>
          </w:tcPr>
          <w:p w14:paraId="15EF9293"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6/10 (60%)</w:t>
            </w:r>
          </w:p>
        </w:tc>
        <w:tc>
          <w:tcPr>
            <w:tcW w:w="2160" w:type="dxa"/>
          </w:tcPr>
          <w:p w14:paraId="22D6D9DC"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465A3D77"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5B20FEC"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precision</w:t>
            </w:r>
          </w:p>
        </w:tc>
        <w:tc>
          <w:tcPr>
            <w:tcW w:w="2160" w:type="dxa"/>
          </w:tcPr>
          <w:p w14:paraId="3B1994C5"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9/11 (82%)</w:t>
            </w:r>
          </w:p>
        </w:tc>
        <w:tc>
          <w:tcPr>
            <w:tcW w:w="2160" w:type="dxa"/>
          </w:tcPr>
          <w:p w14:paraId="5F6D20B5"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6/7 (86%)</w:t>
            </w:r>
          </w:p>
        </w:tc>
        <w:tc>
          <w:tcPr>
            <w:tcW w:w="2160" w:type="dxa"/>
          </w:tcPr>
          <w:p w14:paraId="788CA31B"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303DB313"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EF4E569"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sensitivity</w:t>
            </w:r>
          </w:p>
        </w:tc>
        <w:tc>
          <w:tcPr>
            <w:tcW w:w="2160" w:type="dxa"/>
          </w:tcPr>
          <w:p w14:paraId="6411A530"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13FB1D8C"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23A9480C"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2310B217"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A0BBB04"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precision</w:t>
            </w:r>
          </w:p>
        </w:tc>
        <w:tc>
          <w:tcPr>
            <w:tcW w:w="2160" w:type="dxa"/>
          </w:tcPr>
          <w:p w14:paraId="3F125D7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7/10 (70%)</w:t>
            </w:r>
          </w:p>
        </w:tc>
        <w:tc>
          <w:tcPr>
            <w:tcW w:w="2160" w:type="dxa"/>
          </w:tcPr>
          <w:p w14:paraId="3E99B13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7/13 (54%)</w:t>
            </w:r>
          </w:p>
        </w:tc>
        <w:tc>
          <w:tcPr>
            <w:tcW w:w="2160" w:type="dxa"/>
          </w:tcPr>
          <w:p w14:paraId="292F9FC3"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45638189"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28CE350"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Coherent rejection</w:t>
            </w:r>
          </w:p>
        </w:tc>
        <w:tc>
          <w:tcPr>
            <w:tcW w:w="2160" w:type="dxa"/>
          </w:tcPr>
          <w:p w14:paraId="01F94E6E"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 (62%)</w:t>
            </w:r>
          </w:p>
        </w:tc>
        <w:tc>
          <w:tcPr>
            <w:tcW w:w="2160" w:type="dxa"/>
          </w:tcPr>
          <w:p w14:paraId="544287A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6/8 (75%)</w:t>
            </w:r>
          </w:p>
        </w:tc>
        <w:tc>
          <w:tcPr>
            <w:tcW w:w="2160" w:type="dxa"/>
          </w:tcPr>
          <w:p w14:paraId="175C277C"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110B2F91"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56D352C"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False positives</w:t>
            </w:r>
          </w:p>
        </w:tc>
        <w:tc>
          <w:tcPr>
            <w:tcW w:w="2160" w:type="dxa"/>
          </w:tcPr>
          <w:p w14:paraId="199D88A4"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 (38%)</w:t>
            </w:r>
          </w:p>
        </w:tc>
        <w:tc>
          <w:tcPr>
            <w:tcW w:w="2160" w:type="dxa"/>
          </w:tcPr>
          <w:p w14:paraId="4B8FC32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2/8 (25%)</w:t>
            </w:r>
          </w:p>
        </w:tc>
        <w:tc>
          <w:tcPr>
            <w:tcW w:w="2160" w:type="dxa"/>
          </w:tcPr>
          <w:p w14:paraId="653DDB19"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r w:rsidR="00A92B80" w:rsidRPr="00CD1CF5" w14:paraId="2B6E4CD7"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52C8D36"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Role-mech coherence</w:t>
            </w:r>
          </w:p>
        </w:tc>
        <w:tc>
          <w:tcPr>
            <w:tcW w:w="2160" w:type="dxa"/>
          </w:tcPr>
          <w:p w14:paraId="49325205"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23/26 (88%)</w:t>
            </w:r>
          </w:p>
        </w:tc>
        <w:tc>
          <w:tcPr>
            <w:tcW w:w="2160" w:type="dxa"/>
          </w:tcPr>
          <w:p w14:paraId="2A8157F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160" w:type="dxa"/>
          </w:tcPr>
          <w:p w14:paraId="3F1889E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42C0D22F"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1868E40"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Direction accuracy</w:t>
            </w:r>
          </w:p>
        </w:tc>
        <w:tc>
          <w:tcPr>
            <w:tcW w:w="2160" w:type="dxa"/>
          </w:tcPr>
          <w:p w14:paraId="620C054A"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0233D223"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c>
          <w:tcPr>
            <w:tcW w:w="2160" w:type="dxa"/>
          </w:tcPr>
          <w:p w14:paraId="19112B8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bl>
    <w:p w14:paraId="7A4C3F9E" w14:textId="77777777" w:rsidR="00784529" w:rsidRPr="00CD1CF5" w:rsidRDefault="00784529" w:rsidP="00CD1CF5">
      <w:pPr>
        <w:pStyle w:val="Ttulo2"/>
        <w:spacing w:before="0" w:line="240" w:lineRule="auto"/>
        <w:rPr>
          <w:rFonts w:cstheme="majorHAnsi"/>
          <w:szCs w:val="24"/>
        </w:rPr>
      </w:pPr>
    </w:p>
    <w:p w14:paraId="5A319BD7"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Conclusion</w:t>
      </w:r>
    </w:p>
    <w:p w14:paraId="3C34624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3C8E3515" w14:textId="77777777" w:rsidR="00DB4E22" w:rsidRPr="00CD1CF5" w:rsidRDefault="00DB4E22" w:rsidP="00CD1CF5">
      <w:pPr>
        <w:pStyle w:val="Ttulo2"/>
        <w:spacing w:before="0" w:line="240" w:lineRule="auto"/>
        <w:rPr>
          <w:rFonts w:cstheme="majorHAnsi"/>
          <w:szCs w:val="24"/>
        </w:rPr>
      </w:pPr>
    </w:p>
    <w:p w14:paraId="40ABB342" w14:textId="5ADBC7D6" w:rsidR="00A92B80" w:rsidRPr="00CD1CF5" w:rsidRDefault="00000000" w:rsidP="00CD1CF5">
      <w:pPr>
        <w:pStyle w:val="Ttulo2"/>
        <w:spacing w:before="0" w:line="240" w:lineRule="auto"/>
        <w:rPr>
          <w:rFonts w:cstheme="majorHAnsi"/>
          <w:szCs w:val="24"/>
        </w:rPr>
      </w:pPr>
      <w:r w:rsidRPr="00CD1CF5">
        <w:rPr>
          <w:rFonts w:cstheme="majorHAnsi"/>
          <w:szCs w:val="24"/>
        </w:rPr>
        <w:t>Code</w:t>
      </w:r>
    </w:p>
    <w:p w14:paraId="1608C6E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cot_benchmark.py (v1) -&gt; v2 -&gt; v3 (loop) -&gt; v4 (self-consistency + rules) -&gt; v5 (coherence) -&gt; v6 (executor-keyword) -&gt; v7 (form-mismatch, with reference) -&gt; v8 (agnostic) -&gt; v9 (self-provided mechanism/known_forms) -&gt; v10 (role_form) -&gt; v11 (broadened executor words). All scripts reside in the "extraction code snippets" directory.</w:t>
      </w:r>
    </w:p>
    <w:p w14:paraId="4832AB20" w14:textId="77777777" w:rsidR="00DB4E22" w:rsidRPr="00CD1CF5" w:rsidRDefault="00DB4E22" w:rsidP="00CD1CF5">
      <w:pPr>
        <w:pStyle w:val="Ttulo2"/>
        <w:spacing w:before="0" w:line="240" w:lineRule="auto"/>
        <w:rPr>
          <w:rFonts w:cstheme="majorHAnsi"/>
          <w:szCs w:val="24"/>
        </w:rPr>
      </w:pPr>
    </w:p>
    <w:p w14:paraId="69C3D3F9" w14:textId="1E413FA0" w:rsidR="00A92B80" w:rsidRPr="00CD1CF5" w:rsidRDefault="00000000" w:rsidP="00CD1CF5">
      <w:pPr>
        <w:pStyle w:val="Ttulo2"/>
        <w:spacing w:before="0" w:line="240" w:lineRule="auto"/>
        <w:rPr>
          <w:rFonts w:cstheme="majorHAnsi"/>
          <w:szCs w:val="24"/>
        </w:rPr>
      </w:pPr>
      <w:r w:rsidRPr="00CD1CF5">
        <w:rPr>
          <w:rFonts w:cstheme="majorHAnsi"/>
          <w:szCs w:val="24"/>
        </w:rPr>
        <w:t>Chain-of-thought full-run benchmark (deepseek-v4-pro + self-governance loop)</w:t>
      </w:r>
    </w:p>
    <w:p w14:paraId="18A7F6E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Before the full-matrix run, the same 26 ground-truth pairs (10 executors, 8 regulators, 8 negative controls) were re-benchmarked against the production classifier — deepseek-v4-pro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p>
    <w:p w14:paraId="7EB8215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Results: the production classifier reached 26/26 (100%) combined accuracy and 0/8 (0%) false positives, against 2 false positives for deepseek-chat and 2 for deepseek-reasoner on the same set.</w:t>
      </w:r>
    </w:p>
    <w:p w14:paraId="32A5D09F" w14:textId="77777777" w:rsidR="00DB4E22" w:rsidRPr="00CD1CF5" w:rsidRDefault="00DB4E22" w:rsidP="00CD1CF5">
      <w:pPr>
        <w:pStyle w:val="Ttulo1"/>
        <w:spacing w:before="0" w:line="240" w:lineRule="auto"/>
        <w:rPr>
          <w:rFonts w:cstheme="majorHAnsi"/>
          <w:sz w:val="24"/>
          <w:szCs w:val="24"/>
        </w:rPr>
      </w:pPr>
    </w:p>
    <w:p w14:paraId="78E4A2A8" w14:textId="73020714"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S3</w:t>
      </w:r>
      <w:r w:rsidR="001069E6">
        <w:rPr>
          <w:rFonts w:cstheme="majorHAnsi"/>
          <w:sz w:val="24"/>
          <w:szCs w:val="24"/>
        </w:rPr>
        <w:t xml:space="preserve"> -</w:t>
      </w:r>
      <w:r w:rsidRPr="00CD1CF5">
        <w:rPr>
          <w:rFonts w:cstheme="majorHAnsi"/>
          <w:sz w:val="24"/>
          <w:szCs w:val="24"/>
        </w:rPr>
        <w:t xml:space="preserve"> </w:t>
      </w:r>
      <w:r w:rsidR="00000000" w:rsidRPr="00CD1CF5">
        <w:rPr>
          <w:rFonts w:cstheme="majorHAnsi"/>
          <w:sz w:val="24"/>
          <w:szCs w:val="24"/>
        </w:rPr>
        <w:t xml:space="preserve">RCDome: Consensus API Classification Benchmark: </w:t>
      </w:r>
    </w:p>
    <w:p w14:paraId="7640F7F2"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Consensus API classification benchmark, which tuned the Consensus evidence-channel classifier against the same 26 ground-truth pairs used for the DeepSeek model-selection benchmark (Supplementary Note S2).</w:t>
      </w:r>
    </w:p>
    <w:p w14:paraId="7A89AB55" w14:textId="77777777" w:rsidR="00DB4E22" w:rsidRPr="00CD1CF5" w:rsidRDefault="00DB4E22" w:rsidP="00CD1CF5">
      <w:pPr>
        <w:pStyle w:val="Ttulo2"/>
        <w:spacing w:before="0" w:line="240" w:lineRule="auto"/>
        <w:rPr>
          <w:rFonts w:cstheme="majorHAnsi"/>
          <w:szCs w:val="24"/>
        </w:rPr>
      </w:pPr>
    </w:p>
    <w:p w14:paraId="3574F4ED" w14:textId="43E9C725"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62E5053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 the gene symbol followed only by “cell death” — removing form-name priming.</w:t>
      </w:r>
    </w:p>
    <w:p w14:paraId="74BAF8DA" w14:textId="77777777" w:rsidR="00DB4E22" w:rsidRPr="00CD1CF5" w:rsidRDefault="00DB4E22" w:rsidP="00CD1CF5">
      <w:pPr>
        <w:pStyle w:val="Ttulo2"/>
        <w:spacing w:before="0" w:line="240" w:lineRule="auto"/>
        <w:rPr>
          <w:rFonts w:cstheme="majorHAnsi"/>
          <w:szCs w:val="24"/>
        </w:rPr>
      </w:pPr>
    </w:p>
    <w:p w14:paraId="0706A02C" w14:textId="09FAC743" w:rsidR="00A92B80" w:rsidRPr="00CD1CF5" w:rsidRDefault="00000000" w:rsidP="00CD1CF5">
      <w:pPr>
        <w:pStyle w:val="Ttulo2"/>
        <w:spacing w:before="0" w:line="240" w:lineRule="auto"/>
        <w:rPr>
          <w:rFonts w:cstheme="majorHAnsi"/>
          <w:szCs w:val="24"/>
        </w:rPr>
      </w:pPr>
      <w:r w:rsidRPr="00CD1CF5">
        <w:rPr>
          <w:rFonts w:cstheme="majorHAnsi"/>
          <w:szCs w:val="24"/>
        </w:rPr>
        <w:t>Results</w:t>
      </w:r>
    </w:p>
    <w:p w14:paraId="243B7581"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neutral-query rule (v7) reached 26/26 (100%) combined accuracy and 0/8 (0%) false positives, against 1/8 false positives for v6 (mechanistic 25/26; role 17/26). The neutral-query rule was therefore adopted for the full Consensus extraction.</w:t>
      </w:r>
    </w:p>
    <w:p w14:paraId="22AAB552" w14:textId="77777777" w:rsidR="00DB4E22" w:rsidRPr="00CD1CF5" w:rsidRDefault="00DB4E22" w:rsidP="00CD1CF5">
      <w:pPr>
        <w:spacing w:after="0" w:line="240" w:lineRule="auto"/>
        <w:rPr>
          <w:rFonts w:asciiTheme="majorHAnsi" w:hAnsiTheme="majorHAnsi" w:cstheme="majorHAnsi"/>
          <w:szCs w:val="24"/>
        </w:rPr>
      </w:pPr>
    </w:p>
    <w:tbl>
      <w:tblPr>
        <w:tblStyle w:val="GradeClara-nfase1"/>
        <w:tblW w:w="0" w:type="auto"/>
        <w:tblLook w:val="04A0" w:firstRow="1" w:lastRow="0" w:firstColumn="1" w:lastColumn="0" w:noHBand="0" w:noVBand="1"/>
      </w:tblPr>
      <w:tblGrid>
        <w:gridCol w:w="2840"/>
        <w:gridCol w:w="2846"/>
        <w:gridCol w:w="2843"/>
      </w:tblGrid>
      <w:tr w:rsidR="00A92B80" w:rsidRPr="00CD1CF5" w14:paraId="4F043F7B"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178E36"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Iteration</w:t>
            </w:r>
          </w:p>
        </w:tc>
        <w:tc>
          <w:tcPr>
            <w:tcW w:w="2880" w:type="dxa"/>
          </w:tcPr>
          <w:p w14:paraId="5AB777DF"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Combined accuracy</w:t>
            </w:r>
          </w:p>
        </w:tc>
        <w:tc>
          <w:tcPr>
            <w:tcW w:w="2880" w:type="dxa"/>
          </w:tcPr>
          <w:p w14:paraId="4B7E8013"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False positives (of 8 negatives)</w:t>
            </w:r>
          </w:p>
        </w:tc>
      </w:tr>
      <w:tr w:rsidR="00A92B80" w:rsidRPr="00CD1CF5" w14:paraId="40BE126A"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041EB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v6</w:t>
            </w:r>
          </w:p>
        </w:tc>
        <w:tc>
          <w:tcPr>
            <w:tcW w:w="2880" w:type="dxa"/>
          </w:tcPr>
          <w:p w14:paraId="461AFB7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mechanistic 25/26 (role 17/26)</w:t>
            </w:r>
          </w:p>
        </w:tc>
        <w:tc>
          <w:tcPr>
            <w:tcW w:w="2880" w:type="dxa"/>
          </w:tcPr>
          <w:p w14:paraId="142DEBDC"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w:t>
            </w:r>
          </w:p>
        </w:tc>
      </w:tr>
      <w:tr w:rsidR="00A92B80" w:rsidRPr="00CD1CF5" w14:paraId="46A3DA74"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D54EE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v7 (neutral query)</w:t>
            </w:r>
          </w:p>
        </w:tc>
        <w:tc>
          <w:tcPr>
            <w:tcW w:w="2880" w:type="dxa"/>
          </w:tcPr>
          <w:p w14:paraId="50404743"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880" w:type="dxa"/>
          </w:tcPr>
          <w:p w14:paraId="4CFAA54A"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bl>
    <w:p w14:paraId="1C756920" w14:textId="77777777" w:rsidR="00DB4E22" w:rsidRPr="00CD1CF5" w:rsidRDefault="00DB4E22" w:rsidP="00CD1CF5">
      <w:pPr>
        <w:spacing w:after="0" w:line="240" w:lineRule="auto"/>
        <w:rPr>
          <w:rFonts w:asciiTheme="majorHAnsi" w:hAnsiTheme="majorHAnsi" w:cstheme="majorHAnsi"/>
          <w:szCs w:val="24"/>
        </w:rPr>
      </w:pPr>
    </w:p>
    <w:p w14:paraId="70C2846F" w14:textId="77777777" w:rsidR="00BB22A7" w:rsidRPr="00CD1CF5" w:rsidRDefault="00BB22A7" w:rsidP="00CD1CF5">
      <w:pPr>
        <w:pStyle w:val="Ttulo1"/>
        <w:spacing w:before="0" w:line="240" w:lineRule="auto"/>
        <w:rPr>
          <w:rFonts w:cstheme="majorHAnsi"/>
          <w:sz w:val="24"/>
          <w:szCs w:val="24"/>
        </w:rPr>
      </w:pPr>
    </w:p>
    <w:p w14:paraId="21E754EA" w14:textId="5479B01E"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 xml:space="preserve">Supplementary Note S4 </w:t>
      </w:r>
      <w:r w:rsidR="001069E6">
        <w:rPr>
          <w:rFonts w:cstheme="majorHAnsi"/>
          <w:color w:val="auto"/>
          <w:szCs w:val="24"/>
        </w:rPr>
        <w:t>-</w:t>
      </w:r>
      <w:r w:rsidRPr="00CD1CF5">
        <w:rPr>
          <w:rFonts w:cstheme="majorHAnsi"/>
          <w:color w:val="auto"/>
          <w:szCs w:val="24"/>
        </w:rPr>
        <w:t xml:space="preserve"> Canonicalization Logic and Separation from Biological Modality Status</w:t>
      </w:r>
    </w:p>
    <w:p w14:paraId="42B1549F"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280839C5"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This note defines the term </w:t>
      </w:r>
      <w:r w:rsidRPr="00CD1CF5">
        <w:rPr>
          <w:rFonts w:asciiTheme="majorHAnsi" w:hAnsiTheme="majorHAnsi" w:cstheme="majorHAnsi"/>
          <w:i/>
          <w:color w:val="auto"/>
          <w:szCs w:val="24"/>
        </w:rPr>
        <w:t>"canonicalized RCD-related entity"</w:t>
      </w:r>
      <w:r w:rsidRPr="00CD1CF5">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5E9D0485"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What canonicalization means in RCDome</w:t>
      </w:r>
    </w:p>
    <w:p w14:paraId="48C346D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RCDome consolidates gene–RCD association records recovered from 20 heterogeneous sources — curated databases, pathway resources, omic-annotation compendia, and literature-mining channels — each using its own nomenclature. A single biological concept therefore arrives under multiple names (e.g., </w:t>
      </w:r>
      <w:r w:rsidRPr="00CD1CF5">
        <w:rPr>
          <w:rFonts w:asciiTheme="majorHAnsi" w:hAnsiTheme="majorHAnsi" w:cstheme="majorHAnsi"/>
          <w:i/>
          <w:color w:val="auto"/>
          <w:szCs w:val="24"/>
        </w:rPr>
        <w:t>"Entotic-cell-death"</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"Entotic cell death"</w:t>
      </w:r>
      <w:r w:rsidRPr="00CD1CF5">
        <w:rPr>
          <w:rFonts w:asciiTheme="majorHAnsi" w:hAnsiTheme="majorHAnsi" w:cstheme="majorHAnsi"/>
          <w:color w:val="auto"/>
          <w:szCs w:val="24"/>
        </w:rPr>
        <w:t xml:space="preserve">, and </w:t>
      </w:r>
      <w:r w:rsidRPr="00CD1CF5">
        <w:rPr>
          <w:rFonts w:asciiTheme="majorHAnsi" w:hAnsiTheme="majorHAnsi" w:cstheme="majorHAnsi"/>
          <w:i/>
          <w:color w:val="auto"/>
          <w:szCs w:val="24"/>
        </w:rPr>
        <w:t>"Entosis"</w:t>
      </w:r>
      <w:r w:rsidRPr="00CD1CF5">
        <w:rPr>
          <w:rFonts w:asciiTheme="majorHAnsi" w:hAnsiTheme="majorHAnsi" w:cstheme="majorHAnsi"/>
          <w:color w:val="auto"/>
          <w:szCs w:val="24"/>
        </w:rPr>
        <w:t xml:space="preserve"> for the same entity).</w:t>
      </w:r>
    </w:p>
    <w:p w14:paraId="0682A9B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lastRenderedPageBreak/>
        <w:t>Canonicalization</w:t>
      </w:r>
      <w:r w:rsidRPr="00CD1CF5">
        <w:rPr>
          <w:rFonts w:asciiTheme="majorHAnsi" w:hAnsiTheme="majorHAnsi" w:cstheme="majorHAnsi"/>
          <w:color w:val="auto"/>
          <w:szCs w:val="24"/>
        </w:rPr>
        <w:t xml:space="preserve"> is the vocabulary operation that maps these heterogeneous source terms onto a single preferred RCDome identifier while the original source term is preserved in a parallel field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alongside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xml:space="preserve">`). The result is a controlled vocabulary of </w:t>
      </w:r>
      <w:r w:rsidRPr="00CD1CF5">
        <w:rPr>
          <w:rFonts w:asciiTheme="majorHAnsi" w:hAnsiTheme="majorHAnsi" w:cstheme="majorHAnsi"/>
          <w:b/>
          <w:color w:val="auto"/>
          <w:szCs w:val="24"/>
        </w:rPr>
        <w:t>53 canonicalized RCD-related entities</w:t>
      </w:r>
      <w:r w:rsidRPr="00CD1CF5">
        <w:rPr>
          <w:rFonts w:asciiTheme="majorHAnsi" w:hAnsiTheme="majorHAnsi" w:cstheme="majorHAnsi"/>
          <w:color w:val="auto"/>
          <w:szCs w:val="24"/>
        </w:rPr>
        <w:t>.</w:t>
      </w:r>
    </w:p>
    <w:p w14:paraId="5DB576A5"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Canonicalization is therefore an </w:t>
      </w:r>
      <w:r w:rsidRPr="00CD1CF5">
        <w:rPr>
          <w:rFonts w:asciiTheme="majorHAnsi" w:hAnsiTheme="majorHAnsi" w:cstheme="majorHAnsi"/>
          <w:b/>
          <w:color w:val="auto"/>
          <w:szCs w:val="24"/>
        </w:rPr>
        <w:t>informatics operation on nomenclature</w:t>
      </w:r>
      <w:r w:rsidRPr="00CD1CF5">
        <w:rPr>
          <w:rFonts w:asciiTheme="majorHAnsi" w:hAnsiTheme="majorHAnsi" w:cstheme="majorHAnsi"/>
          <w:color w:val="auto"/>
          <w:szCs w:val="24"/>
        </w:rPr>
        <w:t>, not a biological verdict.</w:t>
      </w:r>
    </w:p>
    <w:p w14:paraId="1595756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What canonicalization does NOT mean</w:t>
      </w:r>
    </w:p>
    <w:p w14:paraId="21C4D11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does not imply that an entity is:</w:t>
      </w:r>
    </w:p>
    <w:p w14:paraId="169765A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 canonical or established human cell-death modality;</w:t>
      </w:r>
    </w:p>
    <w:p w14:paraId="4923BE3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mechanistically independent;</w:t>
      </w:r>
    </w:p>
    <w:p w14:paraId="7B460CB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validated in human cells;</w:t>
      </w:r>
    </w:p>
    <w:p w14:paraId="4961B6A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accepted by the Nomenclature Committee on Cell Death (NCCD);</w:t>
      </w:r>
    </w:p>
    <w:p w14:paraId="44A9AC5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supported by a causal execution machinery; or</w:t>
      </w:r>
    </w:p>
    <w:p w14:paraId="3C4566D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equivalent in evidence maturity to apoptosis, necroptosis, ferroptosis, or pyroptosis.</w:t>
      </w:r>
    </w:p>
    <w:p w14:paraId="4D87FD4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750C9A8E"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Terminology hierarchy</w:t>
      </w:r>
    </w:p>
    <w:p w14:paraId="7F922CE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Four terms are used deliberately, with distinct meanings:</w:t>
      </w:r>
    </w:p>
    <w:p w14:paraId="25D1626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1. </w:t>
      </w:r>
      <w:r w:rsidRPr="00CD1CF5">
        <w:rPr>
          <w:rFonts w:asciiTheme="majorHAnsi" w:hAnsiTheme="majorHAnsi" w:cstheme="majorHAnsi"/>
          <w:b/>
          <w:color w:val="auto"/>
          <w:szCs w:val="24"/>
        </w:rPr>
        <w:t>Canonicalized RCD-related entity</w:t>
      </w:r>
      <w:r w:rsidRPr="00CD1CF5">
        <w:rPr>
          <w:rFonts w:asciiTheme="majorHAnsi" w:hAnsiTheme="majorHAnsi" w:cstheme="majorHAnsi"/>
          <w:color w:val="auto"/>
          <w:szCs w:val="24"/>
        </w:rPr>
        <w:t xml:space="preserve"> — one of the 53 preferred vocabulary identifiers produced by normalization and consolidation of heterogeneous source terminology. This is a vocabulary-normalization statement.</w:t>
      </w:r>
    </w:p>
    <w:p w14:paraId="6CB7C93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2. </w:t>
      </w:r>
      <w:r w:rsidRPr="00CD1CF5">
        <w:rPr>
          <w:rFonts w:asciiTheme="majorHAnsi" w:hAnsiTheme="majorHAnsi" w:cstheme="majorHAnsi"/>
          <w:b/>
          <w:color w:val="auto"/>
          <w:szCs w:val="24"/>
        </w:rPr>
        <w:t>RCD-related entity</w:t>
      </w:r>
      <w:r w:rsidRPr="00CD1CF5">
        <w:rPr>
          <w:rFonts w:asciiTheme="majorHAnsi" w:hAnsiTheme="majorHAnsi" w:cstheme="majorHAnsi"/>
          <w:color w:val="auto"/>
          <w:szCs w:val="24"/>
        </w:rPr>
        <w:t xml:space="preserve"> — the neutral umbrella term for any member of the 53-entity controlled vocabulary, used when the normalization history is not the point of the sentence.</w:t>
      </w:r>
    </w:p>
    <w:p w14:paraId="61AF936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3. </w:t>
      </w:r>
      <w:r w:rsidRPr="00CD1CF5">
        <w:rPr>
          <w:rFonts w:asciiTheme="majorHAnsi" w:hAnsiTheme="majorHAnsi" w:cstheme="majorHAnsi"/>
          <w:b/>
          <w:color w:val="auto"/>
          <w:szCs w:val="24"/>
        </w:rPr>
        <w:t>Bona fide RCD modality</w:t>
      </w:r>
      <w:r w:rsidRPr="00CD1CF5">
        <w:rPr>
          <w:rFonts w:asciiTheme="majorHAnsi" w:hAnsiTheme="majorHAnsi" w:cstheme="majorHAnsi"/>
          <w:color w:val="auto"/>
          <w:szCs w:val="24"/>
        </w:rPr>
        <w:t xml:space="preserve"> — an entity admitted to level L1 through the RCDome G0–G6 hard-gate framework (identifiable causal machinery and functional necessity/distinguishability). In the current adjudicated ontology, </w:t>
      </w:r>
      <w:r w:rsidRPr="00CD1CF5">
        <w:rPr>
          <w:rFonts w:asciiTheme="majorHAnsi" w:hAnsiTheme="majorHAnsi" w:cstheme="majorHAnsi"/>
          <w:b/>
          <w:color w:val="auto"/>
          <w:szCs w:val="24"/>
        </w:rPr>
        <w:t>16 of the 53</w:t>
      </w:r>
      <w:r w:rsidRPr="00CD1CF5">
        <w:rPr>
          <w:rFonts w:asciiTheme="majorHAnsi" w:hAnsiTheme="majorHAnsi" w:cstheme="majorHAnsi"/>
          <w:color w:val="auto"/>
          <w:szCs w:val="24"/>
        </w:rPr>
        <w:t xml:space="preserve"> entities satisfy this criterion.</w:t>
      </w:r>
    </w:p>
    <w:p w14:paraId="27B7C96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4. </w:t>
      </w:r>
      <w:r w:rsidRPr="00CD1CF5">
        <w:rPr>
          <w:rFonts w:asciiTheme="majorHAnsi" w:hAnsiTheme="majorHAnsi" w:cstheme="majorHAnsi"/>
          <w:b/>
          <w:color w:val="auto"/>
          <w:szCs w:val="24"/>
        </w:rPr>
        <w:t>Canonical RCD modality</w:t>
      </w:r>
      <w:r w:rsidRPr="00CD1CF5">
        <w:rPr>
          <w:rFonts w:asciiTheme="majorHAnsi" w:hAnsiTheme="majorHAnsi" w:cstheme="majorHAnsi"/>
          <w:color w:val="auto"/>
          <w:szCs w:val="24"/>
        </w:rPr>
        <w:t xml:space="preserve"> —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50B5C06B"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The 53 ↔ 16 relationship</w:t>
      </w:r>
    </w:p>
    <w:p w14:paraId="67A3A07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The 53 canonicalized RCD-related entities span five ontological levels:</w:t>
      </w:r>
    </w:p>
    <w:p w14:paraId="0B4FB5AC" w14:textId="77777777" w:rsidR="00BB22A7" w:rsidRPr="00CD1CF5" w:rsidRDefault="00BB22A7" w:rsidP="00CD1CF5">
      <w:pPr>
        <w:spacing w:line="240" w:lineRule="auto"/>
        <w:rPr>
          <w:rFonts w:asciiTheme="majorHAnsi" w:hAnsiTheme="majorHAnsi" w:cstheme="majorHAnsi"/>
          <w:color w:val="auto"/>
          <w:szCs w:val="24"/>
          <w:lang w:val="fr-029"/>
        </w:rPr>
      </w:pPr>
      <w:r w:rsidRPr="00CD1CF5">
        <w:rPr>
          <w:rFonts w:asciiTheme="majorHAnsi" w:hAnsiTheme="majorHAnsi" w:cstheme="majorHAnsi"/>
          <w:color w:val="auto"/>
          <w:szCs w:val="24"/>
          <w:lang w:val="fr-029"/>
        </w:rPr>
        <w:lastRenderedPageBreak/>
        <w:t xml:space="preserve">• </w:t>
      </w:r>
      <w:r w:rsidRPr="00CD1CF5">
        <w:rPr>
          <w:rFonts w:asciiTheme="majorHAnsi" w:hAnsiTheme="majorHAnsi" w:cstheme="majorHAnsi"/>
          <w:b/>
          <w:color w:val="auto"/>
          <w:szCs w:val="24"/>
          <w:lang w:val="fr-029"/>
        </w:rPr>
        <w:t>16</w:t>
      </w:r>
      <w:r w:rsidRPr="00CD1CF5">
        <w:rPr>
          <w:rFonts w:asciiTheme="majorHAnsi" w:hAnsiTheme="majorHAnsi" w:cstheme="majorHAnsi"/>
          <w:color w:val="auto"/>
          <w:szCs w:val="24"/>
          <w:lang w:val="fr-029"/>
        </w:rPr>
        <w:t xml:space="preserve"> </w:t>
      </w:r>
      <w:proofErr w:type="spellStart"/>
      <w:r w:rsidRPr="00CD1CF5">
        <w:rPr>
          <w:rFonts w:asciiTheme="majorHAnsi" w:hAnsiTheme="majorHAnsi" w:cstheme="majorHAnsi"/>
          <w:color w:val="auto"/>
          <w:szCs w:val="24"/>
          <w:lang w:val="fr-029"/>
        </w:rPr>
        <w:t>bona</w:t>
      </w:r>
      <w:proofErr w:type="spellEnd"/>
      <w:r w:rsidRPr="00CD1CF5">
        <w:rPr>
          <w:rFonts w:asciiTheme="majorHAnsi" w:hAnsiTheme="majorHAnsi" w:cstheme="majorHAnsi"/>
          <w:color w:val="auto"/>
          <w:szCs w:val="24"/>
          <w:lang w:val="fr-029"/>
        </w:rPr>
        <w:t xml:space="preserve"> </w:t>
      </w:r>
      <w:proofErr w:type="spellStart"/>
      <w:r w:rsidRPr="00CD1CF5">
        <w:rPr>
          <w:rFonts w:asciiTheme="majorHAnsi" w:hAnsiTheme="majorHAnsi" w:cstheme="majorHAnsi"/>
          <w:color w:val="auto"/>
          <w:szCs w:val="24"/>
          <w:lang w:val="fr-029"/>
        </w:rPr>
        <w:t>fide</w:t>
      </w:r>
      <w:proofErr w:type="spellEnd"/>
      <w:r w:rsidRPr="00CD1CF5">
        <w:rPr>
          <w:rFonts w:asciiTheme="majorHAnsi" w:hAnsiTheme="majorHAnsi" w:cstheme="majorHAnsi"/>
          <w:color w:val="auto"/>
          <w:szCs w:val="24"/>
          <w:lang w:val="fr-029"/>
        </w:rPr>
        <w:t xml:space="preserve"> RCD </w:t>
      </w:r>
      <w:proofErr w:type="spellStart"/>
      <w:r w:rsidRPr="00CD1CF5">
        <w:rPr>
          <w:rFonts w:asciiTheme="majorHAnsi" w:hAnsiTheme="majorHAnsi" w:cstheme="majorHAnsi"/>
          <w:color w:val="auto"/>
          <w:szCs w:val="24"/>
          <w:lang w:val="fr-029"/>
        </w:rPr>
        <w:t>modalities</w:t>
      </w:r>
      <w:proofErr w:type="spellEnd"/>
      <w:r w:rsidRPr="00CD1CF5">
        <w:rPr>
          <w:rFonts w:asciiTheme="majorHAnsi" w:hAnsiTheme="majorHAnsi" w:cstheme="majorHAnsi"/>
          <w:color w:val="auto"/>
          <w:szCs w:val="24"/>
          <w:lang w:val="fr-029"/>
        </w:rPr>
        <w:t xml:space="preserve"> (L1</w:t>
      </w:r>
      <w:proofErr w:type="gramStart"/>
      <w:r w:rsidRPr="00CD1CF5">
        <w:rPr>
          <w:rFonts w:asciiTheme="majorHAnsi" w:hAnsiTheme="majorHAnsi" w:cstheme="majorHAnsi"/>
          <w:color w:val="auto"/>
          <w:szCs w:val="24"/>
          <w:lang w:val="fr-029"/>
        </w:rPr>
        <w:t>);</w:t>
      </w:r>
      <w:proofErr w:type="gramEnd"/>
    </w:p>
    <w:p>
      <w:r>
        <w:t>The relationship between the 16 L1 modalities and the NCCD’s 20 canonical definitions is assessed in Methods (“Relationship to the NCCD canonical ontology”).</w:t>
      </w:r>
    </w:p>
    <w:p w14:paraId="0BF9430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5</w:t>
      </w:r>
      <w:r w:rsidRPr="00CD1CF5">
        <w:rPr>
          <w:rFonts w:asciiTheme="majorHAnsi" w:hAnsiTheme="majorHAnsi" w:cstheme="majorHAnsi"/>
          <w:color w:val="auto"/>
          <w:szCs w:val="24"/>
        </w:rPr>
        <w:t xml:space="preserve"> subtypes (L2);</w:t>
      </w:r>
    </w:p>
    <w:p w14:paraId="748E331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2</w:t>
      </w:r>
      <w:r w:rsidRPr="00CD1CF5">
        <w:rPr>
          <w:rFonts w:asciiTheme="majorHAnsi" w:hAnsiTheme="majorHAnsi" w:cstheme="majorHAnsi"/>
          <w:color w:val="auto"/>
          <w:szCs w:val="24"/>
        </w:rPr>
        <w:t xml:space="preserve"> triggers (L3);</w:t>
      </w:r>
    </w:p>
    <w:p w14:paraId="0E4A223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11</w:t>
      </w:r>
      <w:r w:rsidRPr="00CD1CF5">
        <w:rPr>
          <w:rFonts w:asciiTheme="majorHAnsi" w:hAnsiTheme="majorHAnsi" w:cstheme="majorHAnsi"/>
          <w:color w:val="auto"/>
          <w:szCs w:val="24"/>
        </w:rPr>
        <w:t xml:space="preserve"> functional/contextual categories (L4);</w:t>
      </w:r>
    </w:p>
    <w:p w14:paraId="4D0F686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19</w:t>
      </w:r>
      <w:r w:rsidRPr="00CD1CF5">
        <w:rPr>
          <w:rFonts w:asciiTheme="majorHAnsi" w:hAnsiTheme="majorHAnsi" w:cstheme="majorHAnsi"/>
          <w:color w:val="auto"/>
          <w:szCs w:val="24"/>
        </w:rPr>
        <w:t xml:space="preserve"> generic/umbrella/legacy/taxon/emerging concepts (L5).</w:t>
      </w:r>
    </w:p>
    <w:p w14:paraId="63242741" w14:textId="77777777" w:rsidR="00BB22A7" w:rsidRPr="00CD1CF5" w:rsidRDefault="00BB22A7" w:rsidP="00CD1CF5">
      <w:pPr>
        <w:spacing w:line="240" w:lineRule="auto"/>
        <w:rPr>
          <w:rFonts w:asciiTheme="majorHAnsi" w:hAnsiTheme="majorHAnsi" w:cstheme="majorHAnsi"/>
          <w:color w:val="auto"/>
          <w:szCs w:val="24"/>
        </w:rPr>
      </w:pPr>
      <w:proofErr w:type="gramStart"/>
      <w:r w:rsidRPr="00CD1CF5">
        <w:rPr>
          <w:rFonts w:asciiTheme="majorHAnsi" w:hAnsiTheme="majorHAnsi" w:cstheme="majorHAnsi"/>
          <w:color w:val="auto"/>
          <w:szCs w:val="24"/>
        </w:rPr>
        <w:t>Thus</w:t>
      </w:r>
      <w:proofErr w:type="gramEnd"/>
      <w:r w:rsidRPr="00CD1CF5">
        <w:rPr>
          <w:rFonts w:asciiTheme="majorHAnsi" w:hAnsiTheme="majorHAnsi" w:cstheme="majorHAnsi"/>
          <w:color w:val="auto"/>
          <w:szCs w:val="24"/>
        </w:rPr>
        <w:t xml:space="preserve"> the headline count of 53 is a count of </w:t>
      </w:r>
      <w:r w:rsidRPr="00CD1CF5">
        <w:rPr>
          <w:rFonts w:asciiTheme="majorHAnsi" w:hAnsiTheme="majorHAnsi" w:cstheme="majorHAnsi"/>
          <w:b/>
          <w:color w:val="auto"/>
          <w:szCs w:val="24"/>
        </w:rPr>
        <w:t>normalized vocabulary entries</w:t>
      </w:r>
      <w:r w:rsidRPr="00CD1CF5">
        <w:rPr>
          <w:rFonts w:asciiTheme="majorHAnsi" w:hAnsiTheme="majorHAnsi" w:cstheme="majorHAnsi"/>
          <w:color w:val="auto"/>
          <w:szCs w:val="24"/>
        </w:rPr>
        <w:t>, not of established modalities. Only the 16 L1 entities are described as bona fide RCD modalities.</w:t>
      </w:r>
    </w:p>
    <w:p w14:paraId="7D02D688"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5. Preservation of provenance</w:t>
      </w:r>
    </w:p>
    <w:p w14:paraId="70ED0B2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never overwrites the original source terminology. Every association row retains its source form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in parallel with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so the provenance of each name — and therefore of each association — remains traceable to its source database or literature origin.</w:t>
      </w:r>
    </w:p>
    <w:p w14:paraId="50D1B8C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6. Avoiding semantic leakage</w:t>
      </w:r>
    </w:p>
    <w:p w14:paraId="78DCC4DB" w14:textId="4077989B"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Because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in informatics conventionally denotes a preferred normalized identifier, whereas in biology it can imply authoritative establishment, RCDome uses </w:t>
      </w:r>
      <w:r w:rsidRPr="00CD1CF5">
        <w:rPr>
          <w:rFonts w:asciiTheme="majorHAnsi" w:hAnsiTheme="majorHAnsi" w:cstheme="majorHAnsi"/>
          <w:b/>
          <w:color w:val="auto"/>
          <w:szCs w:val="24"/>
        </w:rPr>
        <w:t>"canonicalized"</w:t>
      </w:r>
      <w:r w:rsidRPr="00CD1CF5">
        <w:rPr>
          <w:rFonts w:asciiTheme="majorHAnsi" w:hAnsiTheme="majorHAnsi" w:cstheme="majorHAnsi"/>
          <w:color w:val="auto"/>
          <w:szCs w:val="24"/>
        </w:rPr>
        <w:t xml:space="preserve"> for the vocabulary operation and reserves </w:t>
      </w:r>
      <w:r w:rsidRPr="00CD1CF5">
        <w:rPr>
          <w:rFonts w:asciiTheme="majorHAnsi" w:hAnsiTheme="majorHAnsi" w:cstheme="majorHAnsi"/>
          <w:b/>
          <w:color w:val="auto"/>
          <w:szCs w:val="24"/>
        </w:rPr>
        <w:t>"canonical"</w:t>
      </w:r>
      <w:r w:rsidRPr="00CD1CF5">
        <w:rPr>
          <w:rFonts w:asciiTheme="majorHAnsi" w:hAnsiTheme="majorHAnsi" w:cstheme="majorHAnsi"/>
          <w:color w:val="auto"/>
          <w:szCs w:val="24"/>
        </w:rPr>
        <w:t xml:space="preserve"> and </w:t>
      </w:r>
      <w:r w:rsidRPr="00CD1CF5">
        <w:rPr>
          <w:rFonts w:asciiTheme="majorHAnsi" w:hAnsiTheme="majorHAnsi" w:cstheme="majorHAnsi"/>
          <w:b/>
          <w:color w:val="auto"/>
          <w:szCs w:val="24"/>
        </w:rPr>
        <w:t>"bona fide"</w:t>
      </w:r>
      <w:r w:rsidRPr="00CD1CF5">
        <w:rPr>
          <w:rFonts w:asciiTheme="majorHAnsi" w:hAnsiTheme="majorHAnsi" w:cstheme="majorHAnsi"/>
          <w:color w:val="auto"/>
          <w:szCs w:val="24"/>
        </w:rPr>
        <w:t xml:space="preserv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658E5F35" w14:textId="77777777" w:rsidR="00BB22A7" w:rsidRPr="00CD1CF5" w:rsidRDefault="00BB22A7" w:rsidP="00CD1CF5">
      <w:pPr>
        <w:pStyle w:val="Ttulo1"/>
        <w:spacing w:before="0" w:line="240" w:lineRule="auto"/>
        <w:rPr>
          <w:rFonts w:cstheme="majorHAnsi"/>
          <w:sz w:val="24"/>
          <w:szCs w:val="24"/>
        </w:rPr>
      </w:pPr>
    </w:p>
    <w:p w14:paraId="1C98CE5D" w14:textId="02F7F6F6" w:rsidR="00BB22A7"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S5</w:t>
      </w:r>
      <w:r w:rsidRPr="00CD1CF5">
        <w:rPr>
          <w:rFonts w:cstheme="majorHAnsi"/>
          <w:sz w:val="24"/>
          <w:szCs w:val="24"/>
        </w:rPr>
        <w:t xml:space="preserve"> - </w:t>
      </w:r>
      <w:r w:rsidRPr="00CD1CF5">
        <w:rPr>
          <w:rFonts w:cstheme="majorHAnsi"/>
          <w:sz w:val="24"/>
          <w:szCs w:val="24"/>
        </w:rPr>
        <w:t xml:space="preserve">RCDome: AI Usage, Tokens, and Cost: </w:t>
      </w:r>
    </w:p>
    <w:p w14:paraId="2D318AF2"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60AC327D" w14:textId="77777777" w:rsidR="00BB22A7" w:rsidRPr="00CD1CF5" w:rsidRDefault="00BB22A7" w:rsidP="00CD1CF5">
      <w:pPr>
        <w:spacing w:after="0" w:line="240" w:lineRule="auto"/>
        <w:rPr>
          <w:rFonts w:asciiTheme="majorHAnsi" w:hAnsiTheme="majorHAnsi" w:cstheme="majorHAnsi"/>
          <w:szCs w:val="24"/>
        </w:rPr>
      </w:pPr>
    </w:p>
    <w:p w14:paraId="4919D7A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BB22A7" w:rsidRPr="00CD1CF5" w14:paraId="36061A07"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73E1C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Rows validated</w:t>
            </w:r>
          </w:p>
        </w:tc>
        <w:tc>
          <w:tcPr>
            <w:tcW w:w="4320" w:type="dxa"/>
          </w:tcPr>
          <w:p w14:paraId="1BA8CE7C"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21,567 unique gene-RCD pairs</w:t>
            </w:r>
          </w:p>
        </w:tc>
      </w:tr>
      <w:tr w:rsidR="00BB22A7" w:rsidRPr="00CD1CF5" w14:paraId="56B3B80D"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21541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50A4A0A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~35 hours (dedicated server, sequential)</w:t>
            </w:r>
          </w:p>
        </w:tc>
      </w:tr>
      <w:tr w:rsidR="00BB22A7" w:rsidRPr="00CD1CF5" w14:paraId="35F9DA1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A8A9F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2C8CF0AD"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~US$12</w:t>
            </w:r>
          </w:p>
        </w:tc>
      </w:tr>
      <w:tr w:rsidR="00BB22A7" w:rsidRPr="00CD1CF5" w14:paraId="53F8DF9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2F810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32752AD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million</w:t>
            </w:r>
          </w:p>
        </w:tc>
      </w:tr>
      <w:tr w:rsidR="00BB22A7" w:rsidRPr="00CD1CF5" w14:paraId="4A24646E"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A6256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39F6BFAF"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712DB137"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BB22A7" w:rsidRPr="00CD1CF5" w14:paraId="0F36988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F4825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3F392B15"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1,832 MSigDB-only gene-set pairs</w:t>
            </w:r>
          </w:p>
        </w:tc>
      </w:tr>
      <w:tr w:rsidR="00BB22A7" w:rsidRPr="00CD1CF5" w14:paraId="6E7C9D3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8728F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283AAFF2"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~1-2 hours (8-thread parallel)</w:t>
            </w:r>
          </w:p>
        </w:tc>
      </w:tr>
      <w:tr w:rsidR="00BB22A7" w:rsidRPr="00CD1CF5" w14:paraId="46FB925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DA76F8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5B6EDC0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~US$3-5 (estimated)</w:t>
            </w:r>
          </w:p>
        </w:tc>
      </w:tr>
      <w:tr w:rsidR="00BB22A7" w:rsidRPr="00CD1CF5" w14:paraId="705B0A2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2919D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0FD16D4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million</w:t>
            </w:r>
          </w:p>
        </w:tc>
      </w:tr>
      <w:tr w:rsidR="00BB22A7" w:rsidRPr="00CD1CF5" w14:paraId="07F66FD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A1323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16103CBA"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142D041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lastRenderedPageBreak/>
        <w:t>3. Phase 2B: Europe PMC full-text deep RAG</w:t>
      </w:r>
    </w:p>
    <w:tbl>
      <w:tblPr>
        <w:tblStyle w:val="GradeClara-nfase1"/>
        <w:tblW w:w="0" w:type="auto"/>
        <w:tblLook w:val="04A0" w:firstRow="1" w:lastRow="0" w:firstColumn="1" w:lastColumn="0" w:noHBand="0" w:noVBand="1"/>
      </w:tblPr>
      <w:tblGrid>
        <w:gridCol w:w="4242"/>
        <w:gridCol w:w="4287"/>
      </w:tblGrid>
      <w:tr w:rsidR="00BB22A7" w:rsidRPr="00CD1CF5" w14:paraId="14F22E27"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01B0C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Articles processed</w:t>
            </w:r>
          </w:p>
        </w:tc>
        <w:tc>
          <w:tcPr>
            <w:tcW w:w="4320" w:type="dxa"/>
          </w:tcPr>
          <w:p w14:paraId="41E8A441"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167,868 open-access full-text articles</w:t>
            </w:r>
          </w:p>
        </w:tc>
      </w:tr>
      <w:tr w:rsidR="00BB22A7" w:rsidRPr="00CD1CF5" w14:paraId="2831FC2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E14E2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with deep evidence</w:t>
            </w:r>
          </w:p>
        </w:tc>
        <w:tc>
          <w:tcPr>
            <w:tcW w:w="4320" w:type="dxa"/>
          </w:tcPr>
          <w:p w14:paraId="4380330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 rows (1,118 unique pairs)</w:t>
            </w:r>
          </w:p>
        </w:tc>
      </w:tr>
      <w:tr w:rsidR="00BB22A7" w:rsidRPr="00CD1CF5" w14:paraId="4CF68C2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A3BDB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44B0C807"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million (phase2b_audit_</w:t>
            </w:r>
            <w:proofErr w:type="gramStart"/>
            <w:r w:rsidRPr="00CD1CF5">
              <w:rPr>
                <w:rFonts w:asciiTheme="majorHAnsi" w:hAnsiTheme="majorHAnsi" w:cstheme="majorHAnsi"/>
                <w:szCs w:val="24"/>
              </w:rPr>
              <w:t>report.json</w:t>
            </w:r>
            <w:proofErr w:type="gramEnd"/>
            <w:r w:rsidRPr="00CD1CF5">
              <w:rPr>
                <w:rFonts w:asciiTheme="majorHAnsi" w:hAnsiTheme="majorHAnsi" w:cstheme="majorHAnsi"/>
                <w:szCs w:val="24"/>
              </w:rPr>
              <w:t>)</w:t>
            </w:r>
          </w:p>
        </w:tc>
      </w:tr>
      <w:tr w:rsidR="00BB22A7" w:rsidRPr="00CD1CF5" w14:paraId="060F2D6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6ADB2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0366491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multi-day (Zima, 8-thread)</w:t>
            </w:r>
          </w:p>
        </w:tc>
      </w:tr>
      <w:tr w:rsidR="00BB22A7" w:rsidRPr="00CD1CF5" w14:paraId="28120B2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4EBDA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Cost</w:t>
            </w:r>
          </w:p>
        </w:tc>
        <w:tc>
          <w:tcPr>
            <w:tcW w:w="4320" w:type="dxa"/>
          </w:tcPr>
          <w:p w14:paraId="5ACDE689"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not itemized per phase (deepseek-chat)</w:t>
            </w:r>
          </w:p>
        </w:tc>
      </w:tr>
    </w:tbl>
    <w:p w14:paraId="5743D5C0"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BB22A7" w:rsidRPr="00CD1CF5" w14:paraId="771648D8"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6C121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recovered</w:t>
            </w:r>
          </w:p>
        </w:tc>
        <w:tc>
          <w:tcPr>
            <w:tcW w:w="4320" w:type="dxa"/>
          </w:tcPr>
          <w:p w14:paraId="2D00144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3,058 MECHANISTIC classifications</w:t>
            </w:r>
          </w:p>
        </w:tc>
      </w:tr>
      <w:tr w:rsidR="00BB22A7" w:rsidRPr="00CD1CF5" w14:paraId="5CE84CA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F5860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222677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56D13EE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BB22A7" w:rsidRPr="00CD1CF5" w14:paraId="51A6B377"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467833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022146D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1,341 novel unique pairs</w:t>
            </w:r>
          </w:p>
        </w:tc>
      </w:tr>
      <w:tr w:rsidR="00BB22A7" w:rsidRPr="00CD1CF5" w14:paraId="71CD4A4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3FB98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3EBCF34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6BA756B7"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BB22A7" w:rsidRPr="00CD1CF5" w14:paraId="15384182"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B68AE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processed</w:t>
            </w:r>
          </w:p>
        </w:tc>
        <w:tc>
          <w:tcPr>
            <w:tcW w:w="4320" w:type="dxa"/>
          </w:tcPr>
          <w:p w14:paraId="2EFC042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1,724 non-MECHANISTIC pairs</w:t>
            </w:r>
          </w:p>
        </w:tc>
      </w:tr>
      <w:tr w:rsidR="00BB22A7" w:rsidRPr="00CD1CF5" w14:paraId="4404840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35DCF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Recovered</w:t>
            </w:r>
          </w:p>
        </w:tc>
        <w:tc>
          <w:tcPr>
            <w:tcW w:w="4320" w:type="dxa"/>
          </w:tcPr>
          <w:p w14:paraId="6F69AC5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588 MECHANISTIC associations</w:t>
            </w:r>
          </w:p>
        </w:tc>
      </w:tr>
      <w:tr w:rsidR="00BB22A7" w:rsidRPr="00CD1CF5" w14:paraId="1540412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4AE4D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039676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5D10E04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BB22A7" w:rsidRPr="00CD1CF5" w14:paraId="16E1CFC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7976A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Records extracted</w:t>
            </w:r>
          </w:p>
        </w:tc>
        <w:tc>
          <w:tcPr>
            <w:tcW w:w="4320" w:type="dxa"/>
          </w:tcPr>
          <w:p w14:paraId="2DC91971"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784 governed records from 154 papers</w:t>
            </w:r>
          </w:p>
        </w:tc>
      </w:tr>
      <w:tr w:rsidR="00BB22A7" w:rsidRPr="00CD1CF5" w14:paraId="64D1CB0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EDDDD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363557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 minutes</w:t>
            </w:r>
          </w:p>
        </w:tc>
      </w:tr>
      <w:tr w:rsidR="00BB22A7" w:rsidRPr="00CD1CF5" w14:paraId="03AE26AE"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65E85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API cost</w:t>
            </w:r>
          </w:p>
        </w:tc>
        <w:tc>
          <w:tcPr>
            <w:tcW w:w="4320" w:type="dxa"/>
          </w:tcPr>
          <w:p w14:paraId="638F189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~US$18 (3 forms x ~$6 per form)</w:t>
            </w:r>
          </w:p>
        </w:tc>
      </w:tr>
    </w:tbl>
    <w:p w14:paraId="4B0E96EF"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BB22A7" w:rsidRPr="00CD1CF5" w14:paraId="61A1091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C131B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Associations extracted</w:t>
            </w:r>
          </w:p>
        </w:tc>
        <w:tc>
          <w:tcPr>
            <w:tcW w:w="4320" w:type="dxa"/>
          </w:tcPr>
          <w:p w14:paraId="539DA3C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4,601 across 50 RCD forms</w:t>
            </w:r>
          </w:p>
        </w:tc>
      </w:tr>
      <w:tr w:rsidR="00BB22A7" w:rsidRPr="00CD1CF5" w14:paraId="44ED121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E7BF7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Triaged</w:t>
            </w:r>
          </w:p>
        </w:tc>
        <w:tc>
          <w:tcPr>
            <w:tcW w:w="4320" w:type="dxa"/>
          </w:tcPr>
          <w:p w14:paraId="4AA8B32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3,803 genuine, 798 association_only, 1 retracted</w:t>
            </w:r>
          </w:p>
        </w:tc>
      </w:tr>
      <w:tr w:rsidR="00BB22A7" w:rsidRPr="00CD1CF5" w14:paraId="47D764E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DAF38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4BBDB50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12CD615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45C53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w:t>
            </w:r>
          </w:p>
        </w:tc>
        <w:tc>
          <w:tcPr>
            <w:tcW w:w="4320" w:type="dxa"/>
          </w:tcPr>
          <w:p w14:paraId="68AB684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bl>
    <w:p w14:paraId="6C1AFFE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BB22A7" w:rsidRPr="00CD1CF5" w14:paraId="651150D8"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2D7D91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Corpus</w:t>
            </w:r>
          </w:p>
        </w:tc>
        <w:tc>
          <w:tcPr>
            <w:tcW w:w="4320" w:type="dxa"/>
          </w:tcPr>
          <w:p w14:paraId="0DB1478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1,500 papers (search + snowball)</w:t>
            </w:r>
          </w:p>
        </w:tc>
      </w:tr>
      <w:tr w:rsidR="00BB22A7" w:rsidRPr="00CD1CF5" w14:paraId="4DA317E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5749A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Papers processed</w:t>
            </w:r>
          </w:p>
        </w:tc>
        <w:tc>
          <w:tcPr>
            <w:tcW w:w="4320" w:type="dxa"/>
          </w:tcPr>
          <w:p w14:paraId="03B18E0C"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1,308</w:t>
            </w:r>
          </w:p>
        </w:tc>
      </w:tr>
      <w:tr w:rsidR="00BB22A7" w:rsidRPr="00CD1CF5" w14:paraId="27269E76"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DA00C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Items extracted</w:t>
            </w:r>
          </w:p>
        </w:tc>
        <w:tc>
          <w:tcPr>
            <w:tcW w:w="4320" w:type="dxa"/>
          </w:tcPr>
          <w:p w14:paraId="3A5D44D6"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27,852 verbatim-anchored items</w:t>
            </w:r>
          </w:p>
        </w:tc>
      </w:tr>
      <w:tr w:rsidR="00BB22A7" w:rsidRPr="00CD1CF5" w14:paraId="18F10E7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99CAB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Raw themes</w:t>
            </w:r>
          </w:p>
        </w:tc>
        <w:tc>
          <w:tcPr>
            <w:tcW w:w="4320" w:type="dxa"/>
          </w:tcPr>
          <w:p w14:paraId="1A03A58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3,313</w:t>
            </w:r>
          </w:p>
        </w:tc>
      </w:tr>
      <w:tr w:rsidR="00BB22A7" w:rsidRPr="00CD1CF5" w14:paraId="4E736B8E"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C4EBC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Framework themes</w:t>
            </w:r>
          </w:p>
        </w:tc>
        <w:tc>
          <w:tcPr>
            <w:tcW w:w="4320" w:type="dxa"/>
          </w:tcPr>
          <w:p w14:paraId="0797325A"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419 (255 AI-governance, 71 human-clinical, 93 ambiguous)</w:t>
            </w:r>
          </w:p>
        </w:tc>
      </w:tr>
      <w:tr w:rsidR="00BB22A7" w:rsidRPr="00CD1CF5" w14:paraId="5C4D0D8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F1FDA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Core themes</w:t>
            </w:r>
          </w:p>
        </w:tc>
        <w:tc>
          <w:tcPr>
            <w:tcW w:w="4320" w:type="dxa"/>
          </w:tcPr>
          <w:p w14:paraId="2A9CCC0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70</w:t>
            </w:r>
          </w:p>
        </w:tc>
      </w:tr>
      <w:tr w:rsidR="00BB22A7" w:rsidRPr="00CD1CF5" w14:paraId="0204BA6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0BCE3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Deduplicated themes</w:t>
            </w:r>
          </w:p>
        </w:tc>
        <w:tc>
          <w:tcPr>
            <w:tcW w:w="4320" w:type="dxa"/>
          </w:tcPr>
          <w:p w14:paraId="46F3620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51</w:t>
            </w:r>
          </w:p>
        </w:tc>
      </w:tr>
      <w:tr w:rsidR="00BB22A7" w:rsidRPr="00CD1CF5" w14:paraId="4610E173"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6EDD2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Status</w:t>
            </w:r>
          </w:p>
        </w:tc>
        <w:tc>
          <w:tcPr>
            <w:tcW w:w="4320" w:type="dxa"/>
          </w:tcPr>
          <w:p w14:paraId="5A27DB32"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COMPLETE</w:t>
            </w:r>
          </w:p>
        </w:tc>
      </w:tr>
      <w:tr w:rsidR="00BB22A7" w:rsidRPr="00CD1CF5" w14:paraId="6CFA65E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A5D09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44402C9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 (Zima run logs)</w:t>
            </w:r>
          </w:p>
        </w:tc>
      </w:tr>
    </w:tbl>
    <w:p w14:paraId="5D235336"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BB22A7" w:rsidRPr="00CD1CF5" w14:paraId="4E511F65"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F3C1CC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(full matrix)</w:t>
            </w:r>
          </w:p>
        </w:tc>
        <w:tc>
          <w:tcPr>
            <w:tcW w:w="4320" w:type="dxa"/>
          </w:tcPr>
          <w:p w14:paraId="3029CAAD"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w:t>
            </w:r>
          </w:p>
        </w:tc>
      </w:tr>
      <w:tr w:rsidR="00BB22A7" w:rsidRPr="00CD1CF5" w14:paraId="75A5ADE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2E49A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(MSigDB extension)</w:t>
            </w:r>
          </w:p>
        </w:tc>
        <w:tc>
          <w:tcPr>
            <w:tcW w:w="4320" w:type="dxa"/>
          </w:tcPr>
          <w:p w14:paraId="1FCC249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w:t>
            </w:r>
          </w:p>
        </w:tc>
      </w:tr>
      <w:tr w:rsidR="00BB22A7" w:rsidRPr="00CD1CF5" w14:paraId="0834CE3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0D04A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2B deep RAG</w:t>
            </w:r>
          </w:p>
        </w:tc>
        <w:tc>
          <w:tcPr>
            <w:tcW w:w="4320" w:type="dxa"/>
          </w:tcPr>
          <w:p w14:paraId="3E77779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w:t>
            </w:r>
          </w:p>
        </w:tc>
      </w:tr>
      <w:tr w:rsidR="00BB22A7" w:rsidRPr="00CD1CF5" w14:paraId="3AEDCF4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D85B2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2C recovery</w:t>
            </w:r>
          </w:p>
        </w:tc>
        <w:tc>
          <w:tcPr>
            <w:tcW w:w="4320" w:type="dxa"/>
          </w:tcPr>
          <w:p w14:paraId="432D4646"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CC0F91E"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036E86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2D NCBI validation</w:t>
            </w:r>
          </w:p>
        </w:tc>
        <w:tc>
          <w:tcPr>
            <w:tcW w:w="4320" w:type="dxa"/>
          </w:tcPr>
          <w:p w14:paraId="657ECE66"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0308F0A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21DA7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Phase 2E Europe PMC recovery</w:t>
            </w:r>
          </w:p>
        </w:tc>
        <w:tc>
          <w:tcPr>
            <w:tcW w:w="4320" w:type="dxa"/>
          </w:tcPr>
          <w:p w14:paraId="07C7475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311CBE1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062AC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Governance track</w:t>
            </w:r>
          </w:p>
        </w:tc>
        <w:tc>
          <w:tcPr>
            <w:tcW w:w="4320" w:type="dxa"/>
          </w:tcPr>
          <w:p w14:paraId="4CA355BB"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7D0A766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B4663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 (recorded phases)</w:t>
            </w:r>
          </w:p>
        </w:tc>
        <w:tc>
          <w:tcPr>
            <w:tcW w:w="4320" w:type="dxa"/>
          </w:tcPr>
          <w:p w14:paraId="41C3511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~1.45 B</w:t>
            </w:r>
          </w:p>
        </w:tc>
      </w:tr>
    </w:tbl>
    <w:p w14:paraId="156E581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Total AI cost summary</w:t>
      </w:r>
    </w:p>
    <w:tbl>
      <w:tblPr>
        <w:tblStyle w:val="GradeClara-nfase1"/>
        <w:tblW w:w="0" w:type="auto"/>
        <w:tblLook w:val="04A0" w:firstRow="1" w:lastRow="0" w:firstColumn="1" w:lastColumn="0" w:noHBand="0" w:noVBand="1"/>
      </w:tblPr>
      <w:tblGrid>
        <w:gridCol w:w="4265"/>
        <w:gridCol w:w="4264"/>
      </w:tblGrid>
      <w:tr w:rsidR="00BB22A7" w:rsidRPr="00CD1CF5" w14:paraId="525172A2"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53552A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29AFA4C9"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0ECF34E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A792D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 (full 50-form run)</w:t>
            </w:r>
          </w:p>
        </w:tc>
        <w:tc>
          <w:tcPr>
            <w:tcW w:w="4320" w:type="dxa"/>
          </w:tcPr>
          <w:p w14:paraId="4CB9CBE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r w:rsidR="00BB22A7" w:rsidRPr="00CD1CF5" w14:paraId="3029D3A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2E5F2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tokens (all phases)</w:t>
            </w:r>
          </w:p>
        </w:tc>
        <w:tc>
          <w:tcPr>
            <w:tcW w:w="4320" w:type="dxa"/>
          </w:tcPr>
          <w:p w14:paraId="1405736D"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US$1,000.00</w:t>
            </w:r>
          </w:p>
        </w:tc>
      </w:tr>
      <w:tr w:rsidR="00BB22A7" w:rsidRPr="00CD1CF5" w14:paraId="73852DB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AA345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w:t>
            </w:r>
          </w:p>
        </w:tc>
        <w:tc>
          <w:tcPr>
            <w:tcW w:w="4320" w:type="dxa"/>
          </w:tcPr>
          <w:p w14:paraId="4FA7CD8B"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US$7,000.00</w:t>
            </w:r>
          </w:p>
        </w:tc>
      </w:tr>
    </w:tbl>
    <w:p w14:paraId="573734EC"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Note</w:t>
      </w:r>
      <w:r w:rsidRPr="00CD1CF5">
        <w:rPr>
          <w:rFonts w:asciiTheme="majorHAnsi" w:hAnsiTheme="majorHAnsi" w:cstheme="majorHAnsi"/>
          <w:szCs w:val="24"/>
        </w:rPr>
        <w:t>: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w:t>
      </w:r>
    </w:p>
    <w:p w14:paraId="4E298453" w14:textId="77777777" w:rsidR="00BB22A7" w:rsidRPr="00CD1CF5" w:rsidRDefault="00BB22A7" w:rsidP="00CD1CF5">
      <w:pPr>
        <w:spacing w:after="0" w:line="240" w:lineRule="auto"/>
        <w:rPr>
          <w:rFonts w:asciiTheme="majorHAnsi" w:hAnsiTheme="majorHAnsi" w:cstheme="majorHAnsi"/>
          <w:szCs w:val="24"/>
        </w:rPr>
      </w:pPr>
    </w:p>
    <w:p w14:paraId="38728659" w14:textId="77777777" w:rsidR="00BB22A7" w:rsidRPr="00CD1CF5" w:rsidRDefault="00BB22A7" w:rsidP="00CD1CF5">
      <w:pPr>
        <w:spacing w:after="0" w:line="240" w:lineRule="auto"/>
        <w:rPr>
          <w:rFonts w:asciiTheme="majorHAnsi" w:hAnsiTheme="majorHAnsi" w:cstheme="majorHAnsi"/>
          <w:b/>
          <w:bCs/>
          <w:szCs w:val="24"/>
        </w:rPr>
      </w:pPr>
    </w:p>
    <w:p w14:paraId="0344F71F" w14:textId="10190005" w:rsidR="00BB22A7" w:rsidRPr="00CD1CF5" w:rsidRDefault="00BB22A7"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Supplementary Note S6</w:t>
      </w:r>
      <w:r w:rsidRPr="00CD1CF5">
        <w:rPr>
          <w:rFonts w:asciiTheme="majorHAnsi" w:hAnsiTheme="majorHAnsi" w:cstheme="majorHAnsi"/>
          <w:b/>
          <w:bCs/>
          <w:szCs w:val="24"/>
        </w:rPr>
        <w:t xml:space="preserve"> - </w:t>
      </w:r>
      <w:r w:rsidR="00000000" w:rsidRPr="00CD1CF5">
        <w:rPr>
          <w:rFonts w:asciiTheme="majorHAnsi" w:hAnsiTheme="majorHAnsi" w:cstheme="majorHAnsi"/>
          <w:b/>
          <w:bCs/>
          <w:szCs w:val="24"/>
        </w:rPr>
        <w:t>RCDome: Digital Molecular RCD Board Benchmark</w:t>
      </w:r>
    </w:p>
    <w:p w14:paraId="249F6AF1" w14:textId="3BC73B12"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6AD71EA0" w14:textId="77777777" w:rsidR="00DB4E22" w:rsidRPr="00CD1CF5" w:rsidRDefault="00DB4E22" w:rsidP="00CD1CF5">
      <w:pPr>
        <w:spacing w:after="0" w:line="240" w:lineRule="auto"/>
        <w:rPr>
          <w:rFonts w:asciiTheme="majorHAnsi" w:hAnsiTheme="majorHAnsi" w:cstheme="majorHAnsi"/>
          <w:b/>
          <w:bCs/>
          <w:szCs w:val="24"/>
        </w:rPr>
      </w:pPr>
    </w:p>
    <w:p w14:paraId="12D66F5A" w14:textId="5F4EBDE0"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Board governance</w:t>
      </w:r>
    </w:p>
    <w:p w14:paraId="477A945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4499430A" w14:textId="77777777" w:rsidR="00654118" w:rsidRPr="00CD1CF5" w:rsidRDefault="00654118" w:rsidP="00CD1CF5">
      <w:pPr>
        <w:spacing w:after="0" w:line="240" w:lineRule="auto"/>
        <w:rPr>
          <w:rFonts w:asciiTheme="majorHAnsi" w:hAnsiTheme="majorHAnsi" w:cstheme="majorHAnsi"/>
          <w:szCs w:val="24"/>
        </w:rPr>
      </w:pPr>
    </w:p>
    <w:p w14:paraId="1293E9E5"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retrieval strategy</w:t>
      </w:r>
    </w:p>
    <w:p w14:paraId="4F80C11E"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Q&amp;A submodule answers free-form questions across all 53 entities and all 9,265 genes. The complete gene–form matrix (22,473 rows, each carrying mechanistic class, role, direction, evidence tier, and PMID) exceeds the model context, so the </w:t>
      </w:r>
      <w:r w:rsidRPr="00CD1CF5">
        <w:rPr>
          <w:rFonts w:asciiTheme="majorHAnsi" w:hAnsiTheme="majorHAnsi" w:cstheme="majorHAnsi"/>
          <w:szCs w:val="24"/>
        </w:rPr>
        <w:lastRenderedPageBreak/>
        <w:t>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0AE485F0" w14:textId="77777777" w:rsidR="00DB4E22" w:rsidRPr="00CD1CF5" w:rsidRDefault="00DB4E22" w:rsidP="00CD1CF5">
      <w:pPr>
        <w:spacing w:after="0" w:line="240" w:lineRule="auto"/>
        <w:rPr>
          <w:rFonts w:asciiTheme="majorHAnsi" w:hAnsiTheme="majorHAnsi" w:cstheme="majorHAnsi"/>
          <w:b/>
          <w:bCs/>
          <w:szCs w:val="24"/>
        </w:rPr>
      </w:pPr>
    </w:p>
    <w:p w14:paraId="00C97AEB" w14:textId="59BEE1AD"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Benchmark design</w:t>
      </w:r>
    </w:p>
    <w:p w14:paraId="4C7D336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benchmark (run_board_benchmark.py and audit_canonical.py)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35094AC8" w14:textId="77777777" w:rsidR="00DB4E22" w:rsidRPr="00CD1CF5" w:rsidRDefault="00DB4E22" w:rsidP="00CD1CF5">
      <w:pPr>
        <w:spacing w:after="0" w:line="240" w:lineRule="auto"/>
        <w:rPr>
          <w:rFonts w:asciiTheme="majorHAnsi" w:hAnsiTheme="majorHAnsi" w:cstheme="majorHAnsi"/>
          <w:b/>
          <w:bCs/>
          <w:szCs w:val="24"/>
        </w:rPr>
      </w:pPr>
    </w:p>
    <w:p w14:paraId="3654757E" w14:textId="7BF304BA"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Results</w:t>
      </w:r>
    </w:p>
    <w:p w14:paraId="612C4680"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benchmark ran on 2026-09-09 with seed 42, temperature 0.7, prompt v2-smoke-aligned, and the deepseek-chat model. Golden accuracy was 26/26 (100%; Wilson 95% CI 87.1–100%; binomial against 0.95, p = 0.639). Census accuracy was 53/53 (100%; CI 93.2–100%; binomial p = 0.114). Fact-stability on BAX-Apoptosis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deepseek-chat (26/26, 100%) over deepseek-reasoner (22/26, 84.6%). Chat governance passed 10/10 (100% across five question types). The single governance violation was MLKL-Necroptosis failing the exactly-three-queries check; on direct regeneration that same report passed 30/30, confirming this is temperature-driven prose variability rather than a systematic defect. The deterministic scrub applied 163 corrections across the run (55 bare database or decoder terms, causal-verb hedging, markdown-bold removal, and disclaimer and query normalization).</w:t>
      </w:r>
    </w:p>
    <w:p w14:paraId="0ABBBE54" w14:textId="77777777" w:rsidR="00DB4E22" w:rsidRPr="00CD1CF5" w:rsidRDefault="00DB4E22" w:rsidP="00CD1CF5">
      <w:pPr>
        <w:spacing w:after="0" w:line="240" w:lineRule="auto"/>
        <w:rPr>
          <w:rFonts w:asciiTheme="majorHAnsi" w:hAnsiTheme="majorHAnsi" w:cstheme="majorHAnsi"/>
          <w:b/>
          <w:szCs w:val="24"/>
        </w:rPr>
      </w:pPr>
    </w:p>
    <w:p w14:paraId="50256D82" w14:textId="4086B432"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lastRenderedPageBreak/>
        <w:t>Q&amp;A benchmark description and validation</w:t>
      </w:r>
    </w:p>
    <w:p w14:paraId="46E6E287"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Q&amp;A submodule was benchmarked with the same statistical machinery as the board benchmark (point estimate, Wilson 95% CI, binomial test against a 0.95 null), using deepseek-chat,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w:t>
      </w:r>
      <w:proofErr w:type="gramStart"/>
      <w:r w:rsidRPr="00CD1CF5">
        <w:rPr>
          <w:rFonts w:asciiTheme="majorHAnsi" w:hAnsiTheme="majorHAnsi" w:cstheme="majorHAnsi"/>
          <w:szCs w:val="24"/>
        </w:rPr>
        <w:t>retrieves</w:t>
      </w:r>
      <w:proofErr w:type="gramEnd"/>
      <w:r w:rsidRPr="00CD1CF5">
        <w:rPr>
          <w:rFonts w:asciiTheme="majorHAnsi" w:hAnsiTheme="majorHAnsi" w:cstheme="majorHAnsi"/>
          <w:szCs w:val="24"/>
        </w:rPr>
        <w:t xml:space="preserve">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BAX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1C3B5210" w14:textId="77777777" w:rsidR="00654118" w:rsidRPr="00CD1CF5" w:rsidRDefault="00654118" w:rsidP="00CD1CF5">
      <w:pPr>
        <w:spacing w:after="0" w:line="240" w:lineRule="auto"/>
        <w:rPr>
          <w:rFonts w:asciiTheme="majorHAnsi" w:hAnsiTheme="majorHAnsi" w:cstheme="majorHAnsi"/>
          <w:szCs w:val="24"/>
        </w:rPr>
      </w:pPr>
    </w:p>
    <w:p w14:paraId="5283F2C0" w14:textId="5C441ADB"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Statistical design.</w:t>
      </w:r>
      <w:r w:rsidRPr="00CD1CF5">
        <w:rPr>
          <w:rFonts w:asciiTheme="majorHAnsi" w:hAnsiTheme="majorHAnsi" w:cstheme="majorHAnsi"/>
          <w:szCs w:val="24"/>
        </w:rPr>
        <w:t xml:space="preserve"> The Q&amp;A tests use the same sample-size formulas as the board benchmark: proportion 95% CI n = z²·p·(1−p)/E² (z = 1.96); detect a defect Δ with 80% power n = (zα+z</w:t>
      </w:r>
      <w:proofErr w:type="gramStart"/>
      <w:r w:rsidRPr="00CD1CF5">
        <w:rPr>
          <w:rFonts w:asciiTheme="majorHAnsi" w:hAnsiTheme="majorHAnsi" w:cstheme="majorHAnsi"/>
          <w:szCs w:val="24"/>
        </w:rPr>
        <w:t>β)²</w:t>
      </w:r>
      <w:proofErr w:type="gramEnd"/>
      <w:r w:rsidRPr="00CD1CF5">
        <w:rPr>
          <w:rFonts w:asciiTheme="majorHAnsi" w:hAnsiTheme="majorHAnsi" w:cstheme="majorHAnsi"/>
          <w:szCs w:val="24"/>
        </w:rPr>
        <w:t>·2·p̄·(1−p̄)/Δ² (zβ = 0.84); Wilson 95% CI lower bound for 100% observed n</w:t>
      </w:r>
      <w:proofErr w:type="gramStart"/>
      <w:r w:rsidRPr="00CD1CF5">
        <w:rPr>
          <w:rFonts w:asciiTheme="majorHAnsi" w:hAnsiTheme="majorHAnsi" w:cstheme="majorHAnsi"/>
          <w:szCs w:val="24"/>
        </w:rPr>
        <w:t>/(</w:t>
      </w:r>
      <w:proofErr w:type="gramEnd"/>
      <w:r w:rsidRPr="00CD1CF5">
        <w:rPr>
          <w:rFonts w:asciiTheme="majorHAnsi" w:hAnsiTheme="majorHAnsi" w:cstheme="majorHAnsi"/>
          <w:szCs w:val="24"/>
        </w:rPr>
        <w:t>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014DB946" w14:textId="77777777" w:rsidR="00DB4E22" w:rsidRPr="00CD1CF5" w:rsidRDefault="00DB4E22" w:rsidP="00CD1CF5">
      <w:pPr>
        <w:spacing w:after="0" w:line="240" w:lineRule="auto"/>
        <w:rPr>
          <w:rFonts w:asciiTheme="majorHAnsi" w:hAnsiTheme="majorHAnsi" w:cstheme="majorHAnsi"/>
          <w:b/>
          <w:bCs/>
          <w:szCs w:val="24"/>
        </w:rPr>
      </w:pPr>
    </w:p>
    <w:p w14:paraId="2B049727" w14:textId="5F816006"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Code corrections</w:t>
      </w:r>
    </w:p>
    <w:p w14:paraId="6A27801E"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Six defects were found and fixed during validation: (1) the violation-type mapping had mislabeled the hedging and query checks and contained a dead branch, so hedge and query counts were reported incorrectly; (2) every failed check is now </w:t>
      </w:r>
      <w:r w:rsidRPr="00CD1CF5">
        <w:rPr>
          <w:rFonts w:asciiTheme="majorHAnsi" w:hAnsiTheme="majorHAnsi" w:cstheme="majorHAnsi"/>
          <w:szCs w:val="24"/>
        </w:rPr>
        <w:lastRenderedPageBreak/>
        <w:t>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086AEDA5" w14:textId="77777777" w:rsidR="00654118" w:rsidRPr="00CD1CF5" w:rsidRDefault="00654118" w:rsidP="00CD1CF5">
      <w:pPr>
        <w:spacing w:after="0" w:line="240" w:lineRule="auto"/>
        <w:rPr>
          <w:rFonts w:asciiTheme="majorHAnsi" w:hAnsiTheme="majorHAnsi" w:cstheme="majorHAnsi"/>
          <w:szCs w:val="24"/>
        </w:rPr>
      </w:pPr>
    </w:p>
    <w:p>
      <w:r>
        <w:t>Minimal source and insufficient-data directness.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r>
        <w:t>English-only policy. The Board and Q&amp;A answer only in English; a query in any other language must receive the exact refusal sentence. Across 100 non-English queries (Portuguese, Spanish, French), all 100 were refused correctly (100%; 95% CI 96.4–100%).</w:t>
      </w:r>
    </w:p>
    <w:p>
      <w:r>
        <w:t>Context fidelity. The Board receives the structured payload (role, direction, mechanistic class, evidence tier, required_for_death) for the queried gene–entity pair, and the prose must not contradict those fields. Across 100 pairs, no contradiction was observed (100%; 95% CI 96.4–100%).</w:t>
      </w:r>
    </w:p>
    <w:p>
      <w:r>
        <w:t>Reference discipline.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r>
        <w:t>The Board and Q&amp;A were benchmarked on random, seed-reproducible samples of n = 100 gene–entity pairs or queries, with the exact binomial 95% confidence interval (Clopper–Pearson).</w:t>
      </w:r>
    </w:p>
    <w:p>
      <w:r>
        <w:rPr>
          <w:b/>
        </w:rPr>
        <w:t>Post-review regression benchmarks</w:t>
      </w:r>
    </w:p>
    <w:p w14:paraId="092B9841"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achieves 100% golden accuracy, 100% census accuracy, 100% fact-stability, a 0.047% governance violation rate, and 98.7% articulation conformity, with every violation traceable and logged. The module is ready for integration into the RCDome application as an independent component.</w:t>
      </w:r>
    </w:p>
    <w:p w14:paraId="525746F4" w14:textId="77777777" w:rsidR="00DB4E22" w:rsidRPr="00CD1CF5" w:rsidRDefault="00DB4E22" w:rsidP="00CD1CF5">
      <w:pPr>
        <w:pStyle w:val="Ttulo1"/>
        <w:spacing w:before="0" w:line="240" w:lineRule="auto"/>
        <w:rPr>
          <w:rFonts w:cstheme="majorHAnsi"/>
          <w:sz w:val="24"/>
          <w:szCs w:val="24"/>
        </w:rPr>
      </w:pPr>
    </w:p>
    <w:p w14:paraId="687CA9C3" w14:textId="1DC965E8"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t>Supplementary Figure Legends</w:t>
      </w:r>
    </w:p>
    <w:p w14:paraId="118987D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 xml:space="preserve">Supplementary Figure S1. </w:t>
      </w:r>
      <w:r w:rsidRPr="00CD1CF5">
        <w:rPr>
          <w:rFonts w:asciiTheme="majorHAnsi" w:hAnsiTheme="majorHAnsi" w:cstheme="majorHAnsi"/>
          <w:bCs/>
          <w:szCs w:val="24"/>
        </w:rPr>
        <w:t>Database contribution and multi-database corroboration. (A) Number of gene–RCD associations contributed by each of the 20 source databases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p>
    <w:p w14:paraId="642E03F2"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Supplementary Figure S2. Mechanistic associations per source, stacked by RCD entity ontological level. Each bar shows the number of gene–RCD associations classified as mechanistically involved by the DeepSeek chain-of-thought run (cot_mechanistic = YES), segmented by the ontological level of the corresponding RCD entity: L1 modalities (16 entities), L2 subtypes (5), L3 triggers (2), L4 functional/contextual (11), and L5 generic/umbrella/legacy/taxon/emerging (19). Colors follow the same concordant palette as Figure 4. The total number of mechanistic associations is printed at the end of each bar, ranging from 2 (Elicit Alert) to 6,452 (Rodrigues et al. 2025).</w:t>
      </w:r>
      <w:r w:rsidRPr="00CD1CF5">
        <w:rPr>
          <w:rFonts w:asciiTheme="majorHAnsi" w:hAnsiTheme="majorHAnsi" w:cstheme="majorHAnsi"/>
          <w:bCs/>
          <w:szCs w:val="24"/>
        </w:rPr>
      </w:r>
    </w:p>
    <w:sectPr w:rsidR="00A92B80" w:rsidRPr="00CD1CF5" w:rsidSect="007342FF">
      <w:pgSz w:w="11907" w:h="16840" w:code="9"/>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F36941" w14:textId="77777777" w:rsidR="00DC66DC" w:rsidRDefault="00DC66DC">
      <w:pPr>
        <w:spacing w:after="0" w:line="240" w:lineRule="auto"/>
      </w:pPr>
      <w:r>
        <w:separator/>
      </w:r>
    </w:p>
  </w:endnote>
  <w:endnote w:type="continuationSeparator" w:id="0">
    <w:p w14:paraId="6BE9A51D" w14:textId="77777777" w:rsidR="00DC66DC" w:rsidRDefault="00DC66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1B03E" w14:textId="77777777" w:rsidR="00DC66DC" w:rsidRDefault="00DC66DC">
      <w:pPr>
        <w:spacing w:after="0" w:line="240" w:lineRule="auto"/>
      </w:pPr>
      <w:r>
        <w:separator/>
      </w:r>
    </w:p>
  </w:footnote>
  <w:footnote w:type="continuationSeparator" w:id="0">
    <w:p w14:paraId="789AB2A1" w14:textId="77777777" w:rsidR="00DC66DC" w:rsidRDefault="00DC66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1B7B4BD8"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641965C6"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kwqgUAFmpIcCwAAAA="/>
  </w:docVars>
  <w:rsids>
    <w:rsidRoot w:val="00B47730"/>
    <w:rsid w:val="00034616"/>
    <w:rsid w:val="000357C8"/>
    <w:rsid w:val="0006063C"/>
    <w:rsid w:val="001069E6"/>
    <w:rsid w:val="0015074B"/>
    <w:rsid w:val="001934C5"/>
    <w:rsid w:val="0029639D"/>
    <w:rsid w:val="00326F90"/>
    <w:rsid w:val="00380B78"/>
    <w:rsid w:val="003F1EE0"/>
    <w:rsid w:val="004B6A35"/>
    <w:rsid w:val="00511694"/>
    <w:rsid w:val="00654118"/>
    <w:rsid w:val="00670EE4"/>
    <w:rsid w:val="007342FF"/>
    <w:rsid w:val="00784529"/>
    <w:rsid w:val="00882747"/>
    <w:rsid w:val="009579BE"/>
    <w:rsid w:val="00A92B80"/>
    <w:rsid w:val="00AA1D8D"/>
    <w:rsid w:val="00B47730"/>
    <w:rsid w:val="00BB22A7"/>
    <w:rsid w:val="00CB0664"/>
    <w:rsid w:val="00CD1CF5"/>
    <w:rsid w:val="00D40D65"/>
    <w:rsid w:val="00DB4E22"/>
    <w:rsid w:val="00DC66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7AA301"/>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quique@uenf.b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goralmeida1995@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victor94santos.lopes@gmail.com" TargetMode="External"/><Relationship Id="rId4" Type="http://schemas.openxmlformats.org/officeDocument/2006/relationships/settings" Target="settings.xml"/><Relationship Id="rId9" Type="http://schemas.openxmlformats.org/officeDocument/2006/relationships/hyperlink" Target="mailto:souza.ers00@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13</Pages>
  <Words>4714</Words>
  <Characters>25927</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11</cp:revision>
  <dcterms:created xsi:type="dcterms:W3CDTF">2013-12-23T23:15:00Z</dcterms:created>
  <dcterms:modified xsi:type="dcterms:W3CDTF">2026-09-13T07:21:00Z</dcterms:modified>
  <cp:category/>
</cp:coreProperties>
</file>