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Regulated cell death (RCD) governs tissue homeostasis, development, and disease pathogenesis through </w:t>
      </w:r>
      <w:r w:rsidRPr="0022059B">
        <w:rPr>
          <w:rFonts w:asciiTheme="majorHAnsi" w:hAnsiTheme="majorHAnsi" w:cstheme="majorHAnsi"/>
          <w:szCs w:val="24"/>
        </w:rPr>
        <w:t>genetically encoded entities that eliminate</w:t>
      </w:r>
      <w:r w:rsidRPr="009B500E">
        <w:rPr>
          <w:rFonts w:asciiTheme="majorHAnsi" w:hAnsiTheme="majorHAnsi" w:cstheme="majorHAnsi"/>
          <w:szCs w:val="24"/>
        </w:rPr>
        <w:t xml:space="preserve"> superfluous, damaged, or dangerous cells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Building on this framework, our group compiled gene-level associations for 25 forms and provided tentative operational definitions for forms not covered in the </w:t>
      </w:r>
      <w:r w:rsidRPr="0022059B">
        <w:rPr>
          <w:rFonts w:asciiTheme="majorHAnsi" w:hAnsiTheme="majorHAnsi" w:cstheme="majorHAnsi"/>
          <w:szCs w:val="24"/>
        </w:rPr>
        <w:t xml:space="preserve">NCCD consensus </w:t>
      </w:r>
      <w:r w:rsidRPr="0022059B">
        <w:rPr>
          <w:rFonts w:asciiTheme="majorHAnsi" w:hAnsiTheme="majorHAnsi" w:cstheme="majorHAnsi"/>
          <w:szCs w:val="24"/>
          <w:highlight w:val="yellow"/>
        </w:rPr>
        <w:t>{Rodrigues de Souza, 2025 #782030;Rodrigues de Souza, 2026 #784804</w:t>
      </w:r>
      <w:r w:rsidRPr="0022059B">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w:t>
      </w:r>
      <w:r w:rsidR="0022059B">
        <w:rPr>
          <w:rFonts w:asciiTheme="majorHAnsi" w:hAnsiTheme="majorHAnsi" w:cstheme="majorHAnsi"/>
          <w:szCs w:val="24"/>
        </w:rPr>
        <w:t>gene-RCD</w:t>
      </w:r>
      <w:r w:rsidRPr="0022059B">
        <w:rPr>
          <w:rFonts w:asciiTheme="majorHAnsi" w:hAnsiTheme="majorHAnsi" w:cstheme="majorHAnsi"/>
          <w:szCs w:val="24"/>
        </w:rPr>
        <w:t xml:space="preserve">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(C1) possession of distinct molecular machinery not fully subsumed by another form; (C2) an identifiable biochemical or biophysical trigger; (C3) a characteristic and reproducible morphological phenotype; (C4) explicit naming in at least one peer-reviewed publication; and (C5)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G0-G6 (whole-cell death, causal machinery, functional necessity/distinguishability, supportive phenotype, naming/provenance, replication/maturity, and species scope), which operationalize C1-C5 with G1 (machinery) and 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C1–C5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C1–C6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C1 extent of research (25%), C2 direct involvement (25%), C3 impact on cell/tissue homeostasis (20%), C4 emerging potential (15%), C5 biological significance (10%), and C6 pathophysiological relevance (5%) — each scored 1–10. Three criteria were reinterpreted from the cancer-oriented Rodrigues usage to the cell-biology scope of the RCDome: C2 ("direct involvement in cancer therapy" → "direct involvement"), C3 ("impact on cancer progression" → "impact on cell/tissue homeostasis"), and C6 ("clinical relevance" → "pathophysiological relevance"). The overall score follows the deterministic weighted formula S = 0.25·C1 + 0.25·C2 + 0.20·C3 + 0.15·C4 + 0.10·C5 + 0.05·C6, which reproduces all 25 the multi-optosis anchors exactly. The C1–C6 values are expert judgments, not computable from gene counts (necrosis, 1,092 genes, is scored C1 = 4 whereas cuproptosis, 77 genes, is scored C1 = 7), demonstrating that the criteria are semantic. Consequently, for the entities without a committee definition the C1–C6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G0-G6: G0 whole-cell death (irreversible), G1 identifiable causal machinery (obligatory), G2 functional necessity/distinguishability (obligatory), G3 supportive phenotype/trigger, G4 published name (necessary for traceability, not sufficient for mechanism), G5 independent replication (defines maturity), and G6 species scope. These gates operationalize the NCCD C1-C5 criteria (G1 ~ C1 machinery; G2 ~ C5 modulation; G3 ~ C2/C3 trigger and morphology; G4 ~ C4 naming). Entities passing G1 and G2 were classified hard_gate_status = L1-ELIGIBLE (16/53); the remainder were NOT-L1 (subtypes, triggers, umbrellas, morphology, contextual, and taxon-specific programs). The multi-optosis C1-C6 scoring remains an orthogonal ranking metric, not an admission gate. Independent replication (G5) remains pending for all 53 entities, recorded as 'pending' until curated (allowed values: none, limited, multiple).</w:t>
      </w:r>
    </w:p>
    <w:p>
      <w:r>
        <w:t>Relationship to the NCCD “canonical” ontology. The 16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16 RCDome L1 entities, 9 carry NCCD-verbatim definitions (ferroptosis, necroptosis, pyroptosis, entosis, NETosis, parthanatos, MPT-driven necrosis, autophagy-dependent cell death, and lysosome-dependent cell death). Seven L1 entities fall outside the NCCD 2018 list: apoptosis (which the NCCD splits into extrinsic and intrinsic subtypes, both retained at L2 in RCDome) and six modalities not included in the NCCD 2018 list — cuproptosis, disulfidptosis, methuosis, oxeiptosis, paraptosis, and alkaliptosis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(G1) and functional necessity/distinguishability (G2). RCDome therefore treats the NCCD list as a nomenclature baseline and re-screens it through the G0–G6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 xml:space="preserve">Every operational definition is anchored to a reference PMID: the NCCD verbatim definitions to Galluzzi </w:t>
      </w:r>
      <w:r>
        <w:rPr>
          <w:i/>
        </w:rPr>
        <w:t>et al.</w:t>
      </w:r>
      <w:r>
        <w:t xml:space="preserve"> (PMID 29362479), the multi-optosis definitions to their primary characterization PMIDs, and the </w:t>
      </w:r>
      <w:r>
        <w:rPr>
          <w:i/>
        </w:rPr>
        <w:t>de novo</w:t>
      </w:r>
      <w:r>
        <w:t xml:space="preserve"> definitions to their founding PMID. The 25 multi-optosis entities additionally carry their full primary and secondary evidence PMIDs from the multi-optosis reference table. Each </w:t>
      </w:r>
      <w:r>
        <w:rPr>
          <w:i/>
        </w:rPr>
        <w:t>de novo</w:t>
      </w:r>
      <w:r>
        <w:t xml:space="preserve">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C2 trigger or C3 morphology required by the NCCD logic were flagged criterion-pending, and umbrella categories were flagged umbrella-scope rather than as errors.</w:t>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(0.25·C1 + 0.25·C2 + 0.20·C3 + 0.15·C4 + 0.10·C5 + 0.05·C6) recomputed bitwise for every record), PMID verifiability (Knock Test), calibration (draft scores versus the locked anchors), and invariance (NCCD definitions byte-identical to the source). Inter-rater agreement between the drafted and human-reviewed C1–C6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w:t>
      </w:r>
      <w:r w:rsidR="00635000">
        <w:rPr>
          <w:rFonts w:asciiTheme="majorHAnsi" w:hAnsiTheme="majorHAnsi" w:cstheme="majorHAnsi"/>
          <w:szCs w:val="24"/>
        </w:rPr>
        <w:t xml:space="preserve">e RCD forms </w:t>
      </w:r>
      <w:r w:rsidRPr="009B500E">
        <w:rPr>
          <w:rFonts w:asciiTheme="majorHAnsi" w:hAnsiTheme="majorHAnsi" w:cstheme="majorHAnsi"/>
          <w:szCs w:val="24"/>
        </w:rPr>
        <w:t xml:space="preserve">was compiled through four independent but complementary channels, designed to maximize both recall (Channel A: PubMed Boolean searches) and precision (Channels B, C, D: curated databases, AI-assisted screening, and manual curation) </w:t>
      </w:r>
      <w:r w:rsidRPr="009B500E">
        <w:rPr>
          <w:rFonts w:asciiTheme="majorHAnsi" w:hAnsiTheme="majorHAnsi" w:cstheme="majorHAnsi"/>
          <w:szCs w:val="24"/>
          <w:highlight w:val="green"/>
        </w:rPr>
        <w:t>(Figure 1).</w:t>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lastRenderedPageBreak/>
        <w:t>name exactly as recorded in each source database. A parallel rcd_form_canonical column was reserved for subsequent expert-governed unification of synonymous form names (e.g., "Entotic-cell-death" to "Entosis").</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(T1-T4)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(T1 = 7–10, T2 = 4–6, T3 = 2–3, T4 = 1). This confidence tier is a metric distinct from the evidence tier (T1–T4)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(T2 to 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hyperlink r:id="rId39">
        <w:r>
          <w:rPr>
            <w:rStyle w:val="Hyperlink"/>
          </w:rPr>
          <w:t>https://pcm2019.shinyapps.io/XDeathDB</w:t>
        </w:r>
      </w:hyperlink>
      <w:r>
        <w:t>; PMID 34907160) was cited in Material and Methods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governance gates are defined in Supplementary Table S8.</w:t>
      </w:r>
      <w:r w:rsidR="00495FA3">
        <w:rPr>
          <w:rFonts w:asciiTheme="majorHAnsi" w:hAnsiTheme="majorHAnsi" w:cstheme="majorHAnsi"/>
          <w:szCs w:val="24"/>
        </w:rPr>
        <w:t xml:space="preserve"> </w:t>
      </w:r>
      <w:r w:rsidRPr="009B500E">
        <w:rPr>
          <w:rFonts w:asciiTheme="majorHAnsi" w:hAnsiTheme="majorHAnsi" w:cstheme="majorHAnsi"/>
          <w:szCs w:val="24"/>
        </w:rPr>
        <w:t>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same 26-pair ground-truth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(T1–T4).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16 of the 53 entities satisfy the G0–G6 hard-gate criteria for classification as bona fide RCD modalities. The 53 entities are organized into: 16 RCD modalities (bona fide cell death mechanisms with distinct molecular machinery, admitted through the G0-G6 hard gates), 5 subtypes (mechanistic subdivisions of parent modalities), 2 triggers (events that initiate cell death without themselves being death mechanisms), 11 functional/contextual categories (contextual programs, morphological outcomes, cell-type and differentiation programs), and 19 generic/umbrella/legacy/taxon/emerging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16 RCD modalities, 5 subtypes, 2 triggers, 11 functional/contextual categories, and 19 generic/umbrella/legacy/taxon/emerging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w:t>
      </w:r>
      <w:r w:rsidRPr="009B500E">
        <w:rPr>
          <w:rFonts w:asciiTheme="majorHAnsi" w:hAnsiTheme="majorHAnsi" w:cstheme="majorHAnsi"/>
          <w:szCs w:val="24"/>
        </w:rPr>
        <w:lastRenderedPageBreak/>
        <w:t>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S1).</w:t>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G0–G6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C1–C6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 xml:space="preserve">Four of the </w:t>
      </w:r>
      <w:r>
        <w:rPr>
          <w:i/>
        </w:rPr>
        <w:t>de novo</w:t>
      </w:r>
      <w:r>
        <w:t xml:space="preserve"> drafts — lysoptosis, PANoptosis, regulated necrosis, and triaptosis — were flagged as criterion-pending because their founding articles describe the mechanism but not the C2 trigger and/or the 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(G0-G6; Methods), the ontological levels were recalibrated across the 53 entities: L1 was restricted to the 16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w:t>
      </w:r>
      <w:r w:rsidRPr="009B500E">
        <w:rPr>
          <w:rFonts w:asciiTheme="majorHAnsi" w:hAnsiTheme="majorHAnsi" w:cstheme="majorHAnsi"/>
          <w:szCs w:val="24"/>
        </w:rPr>
        <w:t xml:space="preserv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(+33%), EXECUTOR precision from 47% to 100% (+113%), and traceability from 24% to 98% (+310%) (Figure 2B). The governance framework does not merely improve extraction quality -- it transforms an unreliable AI extraction into a verifiable, auditable evidence pipeline.</w:t>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S2).</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(16, gold), L2 subtypes (5, blue), L3 triggers (2, green), L4 Functional/contextual (11, purple), and L5 Generic/umbrella/legacy/taxon/emerging (19, orange) — over a constellation of the 9,265 HGNC-validated genes. This color-coding makes the ontology’s core claim visible at a glance: only 16 of the 53 entities are bona fide RCD modalities; the remaining 37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16 bona fide RCD modalities, but also subtypes, trigger events, functional/contextual categories, and generic/umbrella/legacy/taxon/emerging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64.7% of their pairs as mechanistically involved, whereas the L5 concepts (Autophagy, Programmed cell death) carry only 31.3%,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17-pair ground truth, and the 26-pair benchmark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Figure 1. RCDome compilation and validation pipeline. </w:t>
      </w:r>
      <w:r w:rsidRPr="002E2E0A">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four complementary channels: Channel A (programmatic PubMed Boolean searches) maximizes recall; Channel B (topic-specific database extraction) provides precision; Channel C (generative-AI-assisted literature screening) captures recent discoveries; and Channel D (manual expert curation) serves as the final arbiter.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ground-truth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ground-truth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Generic/umbrella/legacy/taxon/emerging concepts); the modalities carry the densest mechanistic signal (64.7%) while the Functional/contextual categories (L4) are the most dilute (23.9%), with the Generic/umbrella/legacy/taxon/emerging concepts at 31.3%.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Generic/umbrella/legacy/taxon/emerging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