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(C1) possession of distinct molecular machinery not fully subsumed by another form; (C2) an identifiable biochemical or biophysical trigger; (C3) a characteristic and reproducible morphological phenotype; (C4) explicit naming in at least one peer-reviewed publication; and (C5)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C1-C5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C1–C5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Enrique Medina-Acosta, who read, inspected, and approved each case separately (recorded per entity as ontology_curator_verified); the shared 2026-09-05 timestamp reflects a single curation session, not an unattended batch approval. For the 28 RCDome-drafted operational definitions, the curator read and validated each definition against its founding evidence before marking it approved, while the 25 committee definitions (NCCD and multi-optosis) remained byte-identical (LOCKED-VERBATIM). Field-level evidence was established by the systematic two-call review and the Knock Test.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C1–C6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C1 extent of research (25%), C2 direct involvement (25%), C3 impact on cell/tissue homeostasis (20%), C4 emerging potential (15%), C5 biological significance (10%), and C6 pathophysiological relevance (5%) — each scored 1–10. Three criteria were reinterpreted from the cancer-oriented Rodrigues usage to the cell-biology scope of the RCDome: C2 ("direct involvement in cancer therapy" → "direct involvement"), C3 ("impact on cancer progression" → "impact on cell/tissue homeostasis"), and C6 ("clinical relevance" → "pathophysiological relevance"). The overall score follows the deterministic weighted formula S = 0.25·C1 + 0.25·C2 + 0.20·C3 + 0.15·C4 + 0.10·C5 + 0.05·C6, which reproduces all 25 the multi-optosis anchors exactly. The C1–C6 values are expert judgments, not computable from gene counts (necrosis, 1,092 genes, is scored C1 = 4 whereas cuproptosis, 77 genes, is scored C1 = 7), demonstrating that the criteria are semantic. Consequently, for the entities without a committee definition the C1–C6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C1-C5 criteria (G1 ~ C1 machinery; G2 ~ C5 modulation; G3 ~ C2/C3 trigger and morphology; G4 ~ C4 naming). Entities passing G1 and G2 were classified hard_gate_status = L1-ELIGIBLE (16/53); the remainder were NOT-L1 (subtypes, triggers, umbrellas, morphology, contextual, and taxon-specific programs). The multi-optosis C1-C6 scoring remains an orthogonal ranking metric, not an admission gate. Independent replication (G5) remains pending for all 53 entities, recorded as 'pending' until curated (allowed values: none, limited, multiple).</w:t>
      </w:r>
    </w:p>
    <w:p>
      <w:r>
        <w:t>Relationship to the NCCD “canonical” ontology. The 16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16 RCDome L1 entities, 9 carry NCCD-verbatim definitions (ferroptosis, necroptosis, pyroptosis, entosis, NETosis, parthanatos, MPT-driven necrosis, autophagy-dependent cell death, and lysosome-dependent cell death). Seven L1 entities fall outside the NCCD 2018 list: apoptosis (which the NCCD splits into extrinsic and intrinsic subtypes, both retained at L2 in RCDome) and six modalities not included in the NCCD 2018 list — cuproptosis, disulfidptosis, methuosis, oxeiptosis, paraptosis, and alkaliptosis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(0.25·C1 + 0.25·C2 + 0.20·C3 + 0.15·C4 + 0.10·C5 + 0.05·C6) recomputed bitwise for every record), PMID verifiability (Knock Test), calibration (draft scores versus the locked anchors), and invariance (NCCD definitions byte-identical to the source). Inter-rater agreement between the drafted and human-reviewed C1–C6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lastRenderedPageBreak/>
        <w:t>name exactly as recorded in each source database. A parallel rcd_form_canonical column was reserved for subsequent expert-governed unification of synonymous form names (e.g., "Entotic-cell-death" to "Entosis").</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(T1-T4)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(T1 = 7–10, T2 = 4–6, T3 = 2–3, T4 = 1). This confidence tier is a metric distinct from the evidence tier (T1–T4)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(T1–T4).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16 of the 53 entities satisfy the G0–G6 hard-gate criteria for classification as bona fide RCD modalities. The 53 entities are organized into: 16 RCD modalities (bona fide cell death mechanisms with distinct molecular machinery, admitted through the G0-G6 hard gates), 5 subtypes (mechanistic subdivisions of parent modalities), 2 triggers (events that initiate cell death without themselves being death mechanisms), 11 functional/contextual categories (contextual programs, morphological outcomes, cell-type and differentiation programs), and 19 generic/umbrella/legacy/taxon/emerging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16 RCD modalities, 5 subtypes, 2 triggers, 11 functional/contextual categories, and 19 generic/umbrella/legacy/taxon/emerging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C1–C6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(16, gold), L2 subtypes (7, blue), L3 triggers (2, green), L4 Functional/contextual (11, purple), and L5 Generic/umbrella/taxon (17, orange) — over a constellation of the 9,265 HGNC-validated genes. This color-coding makes the ontology’s core claim visible at a glance: only 16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generic/umbrella/legacy/taxon/emerging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64.7% of their pairs as mechanistically involved, whereas the L5 concepts (Autophagy, Programmed cell death) carry only 31.3%,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Generic/umbrella/legacy/taxon/emerging concepts); the modalities carry the densest mechanistic signal (64.7%) while the Functional/contextual categories (L4) are the most dilute (23.9%), with the Generic/umbrella/legacy/taxon/emerging concepts at 31.3%.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Generic/umbrella/legacy/taxon/emerging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