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46160B" w14:textId="77777777" w:rsidR="00925876" w:rsidRPr="009B500E" w:rsidRDefault="00921C18" w:rsidP="009B500E">
      <w:pPr>
        <w:pStyle w:val="Ttulo1"/>
        <w:spacing w:before="0" w:line="240" w:lineRule="auto"/>
        <w:rPr>
          <w:rFonts w:cstheme="majorHAnsi"/>
          <w:sz w:val="24"/>
          <w:szCs w:val="24"/>
        </w:rPr>
      </w:pPr>
      <w:r w:rsidRPr="009B500E">
        <w:rPr>
          <w:rFonts w:cstheme="majorHAnsi"/>
          <w:color w:val="000000"/>
          <w:sz w:val="24"/>
          <w:szCs w:val="24"/>
        </w:rPr>
        <w:t xml:space="preserve">RCDome: A Multi-Database </w:t>
      </w:r>
      <w:r w:rsidRPr="00777BD4">
        <w:rPr>
          <w:rFonts w:cstheme="majorHAnsi"/>
          <w:color w:val="EE0000"/>
          <w:sz w:val="24"/>
          <w:szCs w:val="24"/>
        </w:rPr>
        <w:t xml:space="preserve">Human Gene </w:t>
      </w:r>
      <w:r w:rsidRPr="009B500E">
        <w:rPr>
          <w:rFonts w:cstheme="majorHAnsi"/>
          <w:color w:val="000000"/>
          <w:sz w:val="24"/>
          <w:szCs w:val="24"/>
        </w:rPr>
        <w:t>Atlas of Regulated Cell Death</w:t>
      </w:r>
    </w:p>
    <w:p w14:paraId="40C88986" w14:textId="77777777" w:rsidR="00521B54" w:rsidRPr="009B500E" w:rsidRDefault="00521B54" w:rsidP="009B500E">
      <w:pPr>
        <w:spacing w:after="0" w:line="240" w:lineRule="auto"/>
        <w:rPr>
          <w:rFonts w:asciiTheme="majorHAnsi" w:hAnsiTheme="majorHAnsi" w:cstheme="majorHAnsi"/>
          <w:b/>
          <w:bCs/>
          <w:szCs w:val="24"/>
        </w:rPr>
      </w:pPr>
    </w:p>
    <w:p w14:paraId="6850B83D" w14:textId="031E9FDA"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Running title:</w:t>
      </w:r>
      <w:r w:rsidRPr="009B500E">
        <w:rPr>
          <w:rFonts w:asciiTheme="majorHAnsi" w:hAnsiTheme="majorHAnsi" w:cstheme="majorHAnsi"/>
          <w:szCs w:val="24"/>
        </w:rPr>
        <w:t xml:space="preserve"> RCDome:</w:t>
      </w:r>
      <w:r w:rsidR="002E2E0A">
        <w:rPr>
          <w:rFonts w:asciiTheme="majorHAnsi" w:hAnsiTheme="majorHAnsi" w:cstheme="majorHAnsi"/>
          <w:szCs w:val="24"/>
        </w:rPr>
        <w:t xml:space="preserve"> </w:t>
      </w:r>
      <w:r w:rsidRPr="009B500E">
        <w:rPr>
          <w:rFonts w:asciiTheme="majorHAnsi" w:hAnsiTheme="majorHAnsi" w:cstheme="majorHAnsi"/>
          <w:szCs w:val="24"/>
        </w:rPr>
        <w:t>Human RCD Gene Atlas</w:t>
      </w:r>
    </w:p>
    <w:p w14:paraId="7BB8DED6"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Keywords</w:t>
      </w:r>
      <w:r w:rsidRPr="009B500E">
        <w:rPr>
          <w:rFonts w:asciiTheme="majorHAnsi" w:hAnsiTheme="majorHAnsi" w:cstheme="majorHAnsi"/>
          <w:szCs w:val="24"/>
        </w:rPr>
        <w:t>: regulated cell death, human gene atlas, knowledge platform, multi-database integration, operational definitions, traceability</w:t>
      </w:r>
    </w:p>
    <w:p w14:paraId="7E49C068" w14:textId="77777777" w:rsidR="00637146" w:rsidRPr="009B500E" w:rsidRDefault="00637146" w:rsidP="009B500E">
      <w:pPr>
        <w:spacing w:after="0" w:line="240" w:lineRule="auto"/>
        <w:rPr>
          <w:rFonts w:asciiTheme="majorHAnsi" w:hAnsiTheme="majorHAnsi" w:cstheme="majorHAnsi"/>
          <w:szCs w:val="24"/>
        </w:rPr>
      </w:pPr>
    </w:p>
    <w:p w14:paraId="6E6761F8" w14:textId="77777777" w:rsidR="00925876" w:rsidRPr="009B500E" w:rsidRDefault="00637146" w:rsidP="009B500E">
      <w:pPr>
        <w:spacing w:after="0" w:line="240" w:lineRule="auto"/>
        <w:rPr>
          <w:rFonts w:asciiTheme="majorHAnsi" w:hAnsiTheme="majorHAnsi" w:cstheme="majorHAnsi"/>
          <w:szCs w:val="24"/>
          <w:lang w:val="pt-BR"/>
        </w:rPr>
      </w:pPr>
      <w:r w:rsidRPr="004A5E2F">
        <w:rPr>
          <w:lang w:val="pt-BR"/>
        </w:rPr>
        <w:t>Emanuell Rodrigues de Souza</w:t>
      </w:r>
      <w:r w:rsidRPr="00447C46">
        <w:rPr>
          <w:b/>
          <w:bCs/>
          <w:vertAlign w:val="superscript"/>
          <w:lang w:val="pt-BR"/>
        </w:rPr>
        <w:t>#</w:t>
      </w:r>
      <w:r w:rsidRPr="004A5E2F">
        <w:rPr>
          <w:lang w:val="pt-BR"/>
        </w:rPr>
        <w:t>, Victor dos Santos Lopes</w:t>
      </w:r>
      <w:r w:rsidRPr="00447C46">
        <w:rPr>
          <w:b/>
          <w:bCs/>
          <w:vertAlign w:val="superscript"/>
          <w:lang w:val="pt-BR"/>
        </w:rPr>
        <w:t>#</w:t>
      </w:r>
      <w:r w:rsidRPr="004A5E2F">
        <w:rPr>
          <w:lang w:val="pt-BR"/>
        </w:rPr>
        <w:t>, Higor Almeida Cordeiro Nogueira, and Enrique Medina-Acosta</w:t>
      </w:r>
      <w:r w:rsidRPr="00D116F4">
        <w:rPr>
          <w:b/>
          <w:bCs/>
          <w:vertAlign w:val="superscript"/>
          <w:lang w:val="pt-BR"/>
        </w:rPr>
        <w:t>*</w:t>
      </w:r>
    </w:p>
    <w:p w14:paraId="0F26619B" w14:textId="77777777" w:rsidR="00637146" w:rsidRPr="009B500E" w:rsidRDefault="00637146" w:rsidP="009B500E">
      <w:pPr>
        <w:spacing w:after="0" w:line="240" w:lineRule="auto"/>
        <w:rPr>
          <w:rFonts w:asciiTheme="majorHAnsi" w:hAnsiTheme="majorHAnsi" w:cstheme="majorHAnsi"/>
          <w:szCs w:val="24"/>
          <w:lang w:val="pt-BR"/>
        </w:rPr>
      </w:pPr>
    </w:p>
    <w:p w14:paraId="4E7B2A2F"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Laborat</w:t>
      </w:r>
      <w:r w:rsidR="00670D3F" w:rsidRPr="009B500E">
        <w:rPr>
          <w:rFonts w:asciiTheme="majorHAnsi" w:hAnsiTheme="majorHAnsi" w:cstheme="majorHAnsi"/>
          <w:szCs w:val="24"/>
          <w:lang w:val="pt-BR"/>
        </w:rPr>
        <w:t>ó</w:t>
      </w:r>
      <w:r w:rsidRPr="009B500E">
        <w:rPr>
          <w:rFonts w:asciiTheme="majorHAnsi" w:hAnsiTheme="majorHAnsi" w:cstheme="majorHAnsi"/>
          <w:szCs w:val="24"/>
          <w:lang w:val="pt-BR"/>
        </w:rPr>
        <w:t>rio de Biotecnologia, Centro de Bioci</w:t>
      </w:r>
      <w:r w:rsidR="00637146" w:rsidRPr="009B500E">
        <w:rPr>
          <w:rFonts w:asciiTheme="majorHAnsi" w:hAnsiTheme="majorHAnsi" w:cstheme="majorHAnsi"/>
          <w:szCs w:val="24"/>
          <w:lang w:val="pt-BR"/>
        </w:rPr>
        <w:t>ên</w:t>
      </w:r>
      <w:r w:rsidRPr="009B500E">
        <w:rPr>
          <w:rFonts w:asciiTheme="majorHAnsi" w:hAnsiTheme="majorHAnsi" w:cstheme="majorHAnsi"/>
          <w:szCs w:val="24"/>
          <w:lang w:val="pt-BR"/>
        </w:rPr>
        <w:t>cias e Biotecnologia, Universidade Estadual do Norte Fluminense, Avenida Alberto Lamego 2000, Parque California, Campos dos Goytacazes, RJ, CEP 28015-602, Brazil.</w:t>
      </w:r>
    </w:p>
    <w:p w14:paraId="660E33B9" w14:textId="77777777" w:rsidR="00381A47" w:rsidRPr="009B500E" w:rsidRDefault="00381A47" w:rsidP="009B500E">
      <w:pPr>
        <w:spacing w:after="0" w:line="240" w:lineRule="auto"/>
        <w:rPr>
          <w:rFonts w:asciiTheme="majorHAnsi" w:hAnsiTheme="majorHAnsi" w:cstheme="majorHAnsi"/>
          <w:szCs w:val="24"/>
          <w:lang w:val="pt-BR"/>
        </w:rPr>
      </w:pPr>
    </w:p>
    <w:p w14:paraId="49E33A91" w14:textId="77777777" w:rsidR="00925876" w:rsidRPr="009B500E" w:rsidRDefault="00921C18" w:rsidP="009B500E">
      <w:pPr>
        <w:spacing w:after="0" w:line="240" w:lineRule="auto"/>
        <w:rPr>
          <w:rFonts w:asciiTheme="majorHAnsi" w:hAnsiTheme="majorHAnsi" w:cstheme="majorHAnsi"/>
          <w:szCs w:val="24"/>
          <w:lang w:val="pt-BR"/>
        </w:rPr>
      </w:pPr>
      <w:r w:rsidRPr="00B82BB0">
        <w:rPr>
          <w:lang w:val="pt-BR"/>
        </w:rPr>
        <w:t xml:space="preserve">*Corresponding author: Enrique Medina-Acosta: </w:t>
      </w:r>
    </w:p>
    <w:p w14:paraId="2D4A97E8" w14:textId="77777777" w:rsidR="007B760F" w:rsidRPr="009B500E" w:rsidRDefault="007B760F" w:rsidP="009B500E">
      <w:pPr>
        <w:spacing w:after="0" w:line="240" w:lineRule="auto"/>
        <w:rPr>
          <w:rFonts w:asciiTheme="majorHAnsi" w:hAnsiTheme="majorHAnsi" w:cstheme="majorHAnsi"/>
          <w:szCs w:val="24"/>
          <w:lang w:val="pt-BR"/>
        </w:rPr>
      </w:pPr>
    </w:p>
    <w:p w14:paraId="21B260D8"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b/>
          <w:bCs/>
          <w:szCs w:val="24"/>
          <w:lang w:val="pt-BR"/>
        </w:rPr>
        <w:t>Author e-mails</w:t>
      </w:r>
      <w:r w:rsidRPr="009B500E">
        <w:rPr>
          <w:rFonts w:asciiTheme="majorHAnsi" w:hAnsiTheme="majorHAnsi" w:cstheme="majorHAnsi"/>
          <w:szCs w:val="24"/>
          <w:lang w:val="pt-BR"/>
        </w:rPr>
        <w:t>:</w:t>
      </w:r>
    </w:p>
    <w:p w14:paraId="533A15D6"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Emanuell Rodrigues de Souza: </w:t>
      </w:r>
      <w:hyperlink r:id="rId8" w:history="1">
        <w:r w:rsidR="007B760F" w:rsidRPr="009B500E">
          <w:rPr>
            <w:rStyle w:val="Hyperlink"/>
            <w:rFonts w:asciiTheme="majorHAnsi" w:hAnsiTheme="majorHAnsi" w:cstheme="majorHAnsi"/>
            <w:szCs w:val="24"/>
            <w:lang w:val="pt-BR"/>
          </w:rPr>
          <w:t>souza.ers00@gmail.com</w:t>
        </w:r>
      </w:hyperlink>
    </w:p>
    <w:p w14:paraId="766484A3"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Victor dos Santos Lopes: </w:t>
      </w:r>
      <w:hyperlink r:id="rId9" w:history="1">
        <w:r w:rsidR="007B760F" w:rsidRPr="009B500E">
          <w:rPr>
            <w:rStyle w:val="Hyperlink"/>
            <w:rFonts w:asciiTheme="majorHAnsi" w:hAnsiTheme="majorHAnsi" w:cstheme="majorHAnsi"/>
            <w:szCs w:val="24"/>
            <w:lang w:val="pt-BR"/>
          </w:rPr>
          <w:t>victor94santos.lopes@gmail.com</w:t>
        </w:r>
      </w:hyperlink>
    </w:p>
    <w:p w14:paraId="09414F83" w14:textId="77777777" w:rsidR="007B760F"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Higor Almeida Cordeiro Nogueira: </w:t>
      </w:r>
      <w:hyperlink r:id="rId10" w:history="1">
        <w:r w:rsidR="007B760F" w:rsidRPr="009B500E">
          <w:rPr>
            <w:rStyle w:val="Hyperlink"/>
            <w:rFonts w:asciiTheme="majorHAnsi" w:hAnsiTheme="majorHAnsi" w:cstheme="majorHAnsi"/>
            <w:szCs w:val="24"/>
            <w:lang w:val="pt-BR"/>
          </w:rPr>
          <w:t>higoralmeida1995@gmail.com</w:t>
        </w:r>
      </w:hyperlink>
    </w:p>
    <w:p w14:paraId="2994167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Enrique Medina-Acosta: </w:t>
      </w:r>
      <w:hyperlink r:id="rId11" w:history="1">
        <w:r w:rsidR="007B760F" w:rsidRPr="009B500E">
          <w:rPr>
            <w:rStyle w:val="Hyperlink"/>
            <w:rFonts w:asciiTheme="majorHAnsi" w:hAnsiTheme="majorHAnsi" w:cstheme="majorHAnsi"/>
            <w:szCs w:val="24"/>
          </w:rPr>
          <w:t>quique@uenf.br</w:t>
        </w:r>
      </w:hyperlink>
    </w:p>
    <w:p w14:paraId="312E2D05" w14:textId="77777777" w:rsidR="00334F5E" w:rsidRPr="009B500E" w:rsidRDefault="00334F5E" w:rsidP="009B500E">
      <w:pPr>
        <w:spacing w:after="0" w:line="240" w:lineRule="auto"/>
        <w:rPr>
          <w:rFonts w:asciiTheme="majorHAnsi" w:hAnsiTheme="majorHAnsi" w:cstheme="majorHAnsi"/>
          <w:szCs w:val="24"/>
        </w:rPr>
      </w:pPr>
    </w:p>
    <w:p w14:paraId="5381DA3A" w14:textId="77777777" w:rsidR="00381A47" w:rsidRPr="009B500E" w:rsidRDefault="00381A47" w:rsidP="009B500E">
      <w:pPr>
        <w:spacing w:after="0" w:line="240" w:lineRule="auto"/>
        <w:rPr>
          <w:rFonts w:asciiTheme="majorHAnsi" w:hAnsiTheme="majorHAnsi" w:cstheme="majorHAnsi"/>
          <w:szCs w:val="24"/>
          <w:vertAlign w:val="superscript"/>
        </w:rPr>
        <w:sectPr w:rsidR="00381A47" w:rsidRPr="009B500E" w:rsidSect="00034616">
          <w:headerReference w:type="default" r:id="rId12"/>
          <w:pgSz w:w="11906" w:h="16838"/>
          <w:pgMar w:top="1417" w:right="1417" w:bottom="1417" w:left="1417" w:header="720" w:footer="720" w:gutter="0"/>
          <w:cols w:space="720"/>
          <w:docGrid w:linePitch="360"/>
        </w:sectPr>
      </w:pPr>
      <w:r w:rsidRPr="00447C46">
        <w:rPr>
          <w:rFonts w:asciiTheme="majorHAnsi" w:hAnsiTheme="majorHAnsi" w:cstheme="majorHAnsi"/>
          <w:b/>
          <w:bCs/>
          <w:szCs w:val="24"/>
          <w:vertAlign w:val="superscript"/>
        </w:rPr>
        <w:t xml:space="preserve"># </w:t>
      </w:r>
      <w:r w:rsidRPr="009B500E">
        <w:rPr>
          <w:rFonts w:asciiTheme="majorHAnsi" w:hAnsiTheme="majorHAnsi" w:cstheme="majorHAnsi"/>
          <w:szCs w:val="24"/>
        </w:rPr>
        <w:t>Authors share fi</w:t>
      </w:r>
      <w:r w:rsidR="00CC3CB8" w:rsidRPr="009B500E">
        <w:rPr>
          <w:rFonts w:asciiTheme="majorHAnsi" w:hAnsiTheme="majorHAnsi" w:cstheme="majorHAnsi"/>
          <w:szCs w:val="24"/>
        </w:rPr>
        <w:t>r</w:t>
      </w:r>
      <w:r w:rsidRPr="009B500E">
        <w:rPr>
          <w:rFonts w:asciiTheme="majorHAnsi" w:hAnsiTheme="majorHAnsi" w:cstheme="majorHAnsi"/>
          <w:szCs w:val="24"/>
        </w:rPr>
        <w:t>st authorship</w:t>
      </w:r>
    </w:p>
    <w:p w14:paraId="379DD2DD" w14:textId="77777777" w:rsidR="00925876" w:rsidRPr="009B500E" w:rsidRDefault="00637146" w:rsidP="009B500E">
      <w:pPr>
        <w:pStyle w:val="Ttulo1"/>
        <w:spacing w:before="0" w:line="240" w:lineRule="auto"/>
        <w:rPr>
          <w:rFonts w:cstheme="majorHAnsi"/>
          <w:sz w:val="24"/>
          <w:szCs w:val="24"/>
        </w:rPr>
      </w:pPr>
      <w:r w:rsidRPr="009B500E">
        <w:rPr>
          <w:rFonts w:cstheme="majorHAnsi"/>
          <w:sz w:val="24"/>
          <w:szCs w:val="24"/>
        </w:rPr>
        <w:lastRenderedPageBreak/>
        <w:t>INTRODUCTION</w:t>
      </w:r>
    </w:p>
    <w:p w14:paraId="3CAF426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Regulated cell death (RCD) governs tissue homeostasis, development, and disease pathogenesis through </w:t>
      </w:r>
      <w:r w:rsidRPr="0022059B">
        <w:rPr>
          <w:rFonts w:asciiTheme="majorHAnsi" w:hAnsiTheme="majorHAnsi" w:cstheme="majorHAnsi"/>
          <w:szCs w:val="24"/>
        </w:rPr>
        <w:t>genetically encoded entities that eliminate</w:t>
      </w:r>
      <w:r w:rsidRPr="009B500E">
        <w:rPr>
          <w:rFonts w:asciiTheme="majorHAnsi" w:hAnsiTheme="majorHAnsi" w:cstheme="majorHAnsi"/>
          <w:szCs w:val="24"/>
        </w:rPr>
        <w:t xml:space="preserve"> superfluous, damaged, or dangerous cells </w:t>
      </w:r>
      <w:r w:rsidRPr="0022059B">
        <w:rPr>
          <w:rFonts w:asciiTheme="majorHAnsi" w:hAnsiTheme="majorHAnsi" w:cstheme="majorHAnsi"/>
          <w:szCs w:val="24"/>
          <w:highlight w:val="yellow"/>
        </w:rPr>
        <w:t>{Galluzzi, 2018 #782025}.</w:t>
      </w:r>
      <w:r w:rsidRPr="009B500E">
        <w:rPr>
          <w:rFonts w:asciiTheme="majorHAnsi" w:hAnsiTheme="majorHAnsi" w:cstheme="majorHAnsi"/>
          <w:szCs w:val="24"/>
        </w:rPr>
        <w:t xml:space="preserve">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w:t>
      </w:r>
      <w:r w:rsidRPr="0022059B">
        <w:rPr>
          <w:rFonts w:asciiTheme="majorHAnsi" w:hAnsiTheme="majorHAnsi" w:cstheme="majorHAnsi"/>
          <w:szCs w:val="24"/>
          <w:highlight w:val="yellow"/>
        </w:rPr>
        <w:t>{Galluzzi, 2018 #782025}.</w:t>
      </w:r>
      <w:r w:rsidRPr="009B500E">
        <w:rPr>
          <w:rFonts w:asciiTheme="majorHAnsi" w:hAnsiTheme="majorHAnsi" w:cstheme="majorHAnsi"/>
          <w:szCs w:val="24"/>
        </w:rPr>
        <w:t xml:space="preserve"> Building on this framework, our group compiled gene-level associations for 25 forms and provided tentative operational definitions for forms not covered in the </w:t>
      </w:r>
      <w:r w:rsidRPr="0022059B">
        <w:rPr>
          <w:rFonts w:asciiTheme="majorHAnsi" w:hAnsiTheme="majorHAnsi" w:cstheme="majorHAnsi"/>
          <w:szCs w:val="24"/>
        </w:rPr>
        <w:t xml:space="preserve">NCCD consensus </w:t>
      </w:r>
      <w:r w:rsidRPr="0022059B">
        <w:rPr>
          <w:rFonts w:asciiTheme="majorHAnsi" w:hAnsiTheme="majorHAnsi" w:cstheme="majorHAnsi"/>
          <w:szCs w:val="24"/>
          <w:highlight w:val="yellow"/>
        </w:rPr>
        <w:t>{Rodrigues de Souza, 2025 #782030;Rodrigues de Souza, 2026 #784804</w:t>
      </w:r>
      <w:r w:rsidRPr="0022059B">
        <w:rPr>
          <w:rFonts w:asciiTheme="majorHAnsi" w:hAnsiTheme="majorHAnsi" w:cstheme="majorHAnsi"/>
          <w:szCs w:val="24"/>
        </w:rPr>
        <w:t xml:space="preserve">}. Since that compilation, the RCD landscape has continued to expand, with the recognition of necrosis by sodium overload (NECSO), mitoxyperilysis, triaptosis, spectosis, floatptosis, lysozincrosis, and metalloptosis (forms that had emerged in the literature before this compilation), alongside the proliferation of specialized databases; the field now encompasses dozens of RCD forms. Each RCD form is executed or regulated by specific genes, and these </w:t>
      </w:r>
      <w:r w:rsidR="0022059B">
        <w:rPr>
          <w:rFonts w:asciiTheme="majorHAnsi" w:hAnsiTheme="majorHAnsi" w:cstheme="majorHAnsi"/>
          <w:szCs w:val="24"/>
        </w:rPr>
        <w:t>gene-RCD</w:t>
      </w:r>
      <w:r w:rsidRPr="0022059B">
        <w:rPr>
          <w:rFonts w:asciiTheme="majorHAnsi" w:hAnsiTheme="majorHAnsi" w:cstheme="majorHAnsi"/>
          <w:szCs w:val="24"/>
        </w:rPr>
        <w:t xml:space="preserve">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p>
    <w:p w14:paraId="2A9416C8" w14:textId="77777777" w:rsidR="00EC5F2D" w:rsidRPr="009B500E" w:rsidRDefault="00EC5F2D" w:rsidP="009B500E">
      <w:pPr>
        <w:spacing w:after="0" w:line="240" w:lineRule="auto"/>
        <w:rPr>
          <w:rFonts w:asciiTheme="majorHAnsi" w:hAnsiTheme="majorHAnsi" w:cstheme="majorHAnsi"/>
          <w:szCs w:val="24"/>
        </w:rPr>
      </w:pPr>
    </w:p>
    <w:p w14:paraId="0E3ABF91" w14:textId="77777777" w:rsidR="00925876" w:rsidRPr="009B500E" w:rsidRDefault="00921C18" w:rsidP="009B500E">
      <w:pPr>
        <w:spacing w:after="0" w:line="240" w:lineRule="auto"/>
        <w:rPr>
          <w:rFonts w:asciiTheme="majorHAnsi" w:hAnsiTheme="majorHAnsi" w:cstheme="majorHAnsi"/>
          <w:szCs w:val="24"/>
          <w:highlight w:val="yellow"/>
        </w:rPr>
      </w:pPr>
      <w:r w:rsidRPr="009B500E">
        <w:rPr>
          <w:rFonts w:asciiTheme="majorHAnsi" w:hAnsiTheme="majorHAnsi" w:cstheme="majorHAnsi"/>
          <w:szCs w:val="24"/>
        </w:rPr>
        <w:t xml:space="preserve">Specialized databases such as FerrDB v3 (22 RCD forms, 3,481 genes </w:t>
      </w:r>
      <w:r w:rsidR="00980C69" w:rsidRPr="009B500E">
        <w:rPr>
          <w:rFonts w:asciiTheme="majorHAnsi" w:hAnsiTheme="majorHAnsi" w:cstheme="majorHAnsi"/>
          <w:szCs w:val="24"/>
          <w:highlight w:val="yellow"/>
        </w:rPr>
        <w:t>{Zhou, 2026 #782033}</w:t>
      </w:r>
      <w:r w:rsidR="00980C69" w:rsidRPr="009B500E">
        <w:rPr>
          <w:rFonts w:asciiTheme="majorHAnsi" w:hAnsiTheme="majorHAnsi" w:cstheme="majorHAnsi"/>
          <w:szCs w:val="24"/>
        </w:rPr>
        <w:t xml:space="preserve"> </w:t>
      </w:r>
      <w:r w:rsidRPr="009B500E">
        <w:rPr>
          <w:rFonts w:asciiTheme="majorHAnsi" w:hAnsiTheme="majorHAnsi" w:cstheme="majorHAnsi"/>
          <w:szCs w:val="24"/>
        </w:rPr>
        <w:t>and RCDdb</w:t>
      </w:r>
      <w:r w:rsidR="000F5DEE" w:rsidRPr="009B500E">
        <w:rPr>
          <w:rFonts w:asciiTheme="majorHAnsi" w:hAnsiTheme="majorHAnsi" w:cstheme="majorHAnsi"/>
          <w:szCs w:val="24"/>
        </w:rPr>
        <w:t xml:space="preserve"> </w:t>
      </w:r>
      <w:r w:rsidR="000F5DEE" w:rsidRPr="009B500E">
        <w:rPr>
          <w:rFonts w:asciiTheme="majorHAnsi" w:hAnsiTheme="majorHAnsi" w:cstheme="majorHAnsi"/>
          <w:szCs w:val="24"/>
          <w:highlight w:val="yellow"/>
        </w:rPr>
        <w:t>{Wang, 2024 #782694}</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together with our prior compilation (25 RCD forms, 5,913 genes) </w:t>
      </w:r>
      <w:r w:rsidR="00187DB0" w:rsidRPr="009B500E">
        <w:rPr>
          <w:rFonts w:asciiTheme="majorHAnsi" w:hAnsiTheme="majorHAnsi" w:cstheme="majorHAnsi"/>
          <w:szCs w:val="24"/>
          <w:highlight w:val="yellow"/>
        </w:rPr>
        <w:t>{Rodrigues de Souza, 2025 #782030}</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represent major advances in RCD knowledge organization. FerrDB v3 is primarily a catalog of RCD regulators and markers </w:t>
      </w:r>
      <w:r w:rsidR="005E4420">
        <w:rPr>
          <w:rFonts w:asciiTheme="majorHAnsi" w:hAnsiTheme="majorHAnsi" w:cstheme="majorHAnsi"/>
          <w:szCs w:val="24"/>
        </w:rPr>
        <w:t xml:space="preserve">extracted from </w:t>
      </w:r>
      <w:r w:rsidR="005E4420" w:rsidRPr="009B500E">
        <w:rPr>
          <w:rFonts w:asciiTheme="majorHAnsi" w:hAnsiTheme="majorHAnsi" w:cstheme="majorHAnsi"/>
          <w:szCs w:val="24"/>
        </w:rPr>
        <w:t>&gt;20,000 publications</w:t>
      </w:r>
      <w:r w:rsidRPr="009B500E">
        <w:rPr>
          <w:rFonts w:asciiTheme="majorHAnsi" w:hAnsiTheme="majorHAnsi" w:cstheme="majorHAnsi"/>
          <w:szCs w:val="24"/>
        </w:rPr>
        <w:t xml:space="preserve">,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"Entotic-cell-death," LncRCD uses "Entotic cell death," while RCDdb and iPCD use "Entosis"; our prior compilation similarly used "Autophagy" as an umbrella term without differentiating autophagy-dependent cell death); and (iii) even </w:t>
      </w:r>
      <w:r w:rsidR="005E4420">
        <w:rPr>
          <w:rFonts w:asciiTheme="majorHAnsi" w:hAnsiTheme="majorHAnsi" w:cstheme="majorHAnsi"/>
          <w:szCs w:val="24"/>
        </w:rPr>
        <w:t xml:space="preserve">those </w:t>
      </w:r>
      <w:r w:rsidRPr="009B500E">
        <w:rPr>
          <w:rFonts w:asciiTheme="majorHAnsi" w:hAnsiTheme="majorHAnsi" w:cstheme="majorHAnsi"/>
          <w:szCs w:val="24"/>
        </w:rPr>
        <w:t>well-curated databases lack per-gene literature traceability, making it impossible to verify the provenance of individual associations. These gaps motivate the development of the platform we describe below.</w:t>
      </w:r>
    </w:p>
    <w:p w14:paraId="7ED3C708" w14:textId="77777777" w:rsidR="00EC5F2D" w:rsidRPr="009B500E" w:rsidRDefault="00EC5F2D" w:rsidP="009B500E">
      <w:pPr>
        <w:spacing w:after="0" w:line="240" w:lineRule="auto"/>
        <w:rPr>
          <w:rFonts w:asciiTheme="majorHAnsi" w:hAnsiTheme="majorHAnsi" w:cstheme="majorHAnsi"/>
          <w:szCs w:val="24"/>
        </w:rPr>
      </w:pPr>
    </w:p>
    <w:p w14:paraId="1D87884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underutilization of published biological data is a well-documented structural problem: a large-scale survey of 454,200 public omics datasets found that only 2.7% had undergone documented reanalysis </w:t>
      </w:r>
      <w:r w:rsidR="00B9076D" w:rsidRPr="009B500E">
        <w:rPr>
          <w:rFonts w:asciiTheme="majorHAnsi" w:hAnsiTheme="majorHAnsi" w:cstheme="majorHAnsi"/>
          <w:szCs w:val="24"/>
          <w:highlight w:val="yellow"/>
        </w:rPr>
        <w:t>{Perez-Riverol, 2019 #783940}</w:t>
      </w:r>
      <w:r w:rsidRPr="009B500E">
        <w:rPr>
          <w:rFonts w:asciiTheme="majorHAnsi" w:hAnsiTheme="majorHAnsi" w:cstheme="majorHAnsi"/>
          <w:szCs w:val="24"/>
        </w:rPr>
        <w:t>. This pattern extends to curated gene-</w:t>
      </w:r>
      <w:r w:rsidRPr="009B500E">
        <w:rPr>
          <w:rFonts w:asciiTheme="majorHAnsi" w:hAnsiTheme="majorHAnsi" w:cstheme="majorHAnsi"/>
          <w:szCs w:val="24"/>
        </w:rPr>
        <w:lastRenderedPageBreak/>
        <w:t xml:space="preserve">function databases, where the vast majority of recorded associations remain unvalidated against primary literature. Combined with recent calls for rigorous standards, validation, and human oversight in AI-assisted data reanalysis </w:t>
      </w:r>
      <w:r w:rsidR="00B9076D" w:rsidRPr="009B500E">
        <w:rPr>
          <w:rFonts w:asciiTheme="majorHAnsi" w:hAnsiTheme="majorHAnsi" w:cstheme="majorHAnsi"/>
          <w:szCs w:val="24"/>
          <w:highlight w:val="yellow"/>
        </w:rPr>
        <w:t>{Ghaderi, 2026 #783939}</w:t>
      </w:r>
      <w:r w:rsidRPr="009B500E">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7384B854" w14:textId="77777777" w:rsidR="00EC5F2D" w:rsidRPr="009B500E" w:rsidRDefault="00EC5F2D" w:rsidP="009B500E">
      <w:pPr>
        <w:spacing w:after="0" w:line="240" w:lineRule="auto"/>
        <w:rPr>
          <w:rFonts w:asciiTheme="majorHAnsi" w:hAnsiTheme="majorHAnsi" w:cstheme="majorHAnsi"/>
          <w:szCs w:val="24"/>
        </w:rPr>
      </w:pPr>
    </w:p>
    <w:p w14:paraId="45A05DD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Yet even with these few dedicated RCD resources, and despite the broader recognition that published data remains critically underutilized, finding which genes are linked to which RCD forms remains unnecessarily difficult. The gene lists for a given RCD form seldom match from one database to the next. Some associations appear without a single PMID or PMCID attached; no way to trace the claim back to a source article, no way to determine whether 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w:t>
      </w:r>
      <w:r w:rsidR="00074187" w:rsidRPr="009B500E">
        <w:rPr>
          <w:rFonts w:asciiTheme="majorHAnsi" w:hAnsiTheme="majorHAnsi" w:cstheme="majorHAnsi"/>
          <w:szCs w:val="24"/>
        </w:rPr>
        <w:t xml:space="preserve"> in RCD biology</w:t>
      </w:r>
      <w:r w:rsidRPr="009B500E">
        <w:rPr>
          <w:rFonts w:asciiTheme="majorHAnsi" w:hAnsiTheme="majorHAnsi" w:cstheme="majorHAnsi"/>
          <w:szCs w:val="24"/>
        </w:rPr>
        <w:t>: “</w:t>
      </w:r>
      <w:r w:rsidRPr="009B500E">
        <w:rPr>
          <w:rFonts w:asciiTheme="majorHAnsi" w:hAnsiTheme="majorHAnsi" w:cstheme="majorHAnsi"/>
          <w:i/>
          <w:iCs/>
          <w:szCs w:val="24"/>
        </w:rPr>
        <w:t>Where did this gene-RCD association come from, and what is the evidence?</w:t>
      </w:r>
      <w:r w:rsidRPr="009B500E">
        <w:rPr>
          <w:rFonts w:asciiTheme="majorHAnsi" w:hAnsiTheme="majorHAnsi" w:cstheme="majorHAnsi"/>
          <w:szCs w:val="24"/>
        </w:rPr>
        <w:t>”</w:t>
      </w:r>
    </w:p>
    <w:p w14:paraId="343D97C4" w14:textId="77777777" w:rsidR="00EC5F2D" w:rsidRPr="009B500E" w:rsidRDefault="00EC5F2D" w:rsidP="009B500E">
      <w:pPr>
        <w:spacing w:after="0" w:line="240" w:lineRule="auto"/>
        <w:rPr>
          <w:rFonts w:asciiTheme="majorHAnsi" w:hAnsiTheme="majorHAnsi" w:cstheme="majorHAnsi"/>
          <w:szCs w:val="24"/>
        </w:rPr>
      </w:pPr>
    </w:p>
    <w:p w14:paraId="39F401AF" w14:textId="77777777" w:rsidR="00925876" w:rsidRPr="009B500E" w:rsidRDefault="00921C18" w:rsidP="009B500E">
      <w:pPr>
        <w:spacing w:after="0" w:line="240" w:lineRule="auto"/>
        <w:rPr>
          <w:rFonts w:asciiTheme="majorHAnsi" w:hAnsiTheme="majorHAnsi" w:cstheme="majorHAnsi"/>
          <w:szCs w:val="24"/>
        </w:rPr>
      </w:pPr>
      <w: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60F17B5A" w14:textId="77777777" w:rsidR="00EC5F2D" w:rsidRPr="009B500E" w:rsidRDefault="00EC5F2D" w:rsidP="009B500E">
      <w:pPr>
        <w:spacing w:after="0" w:line="240" w:lineRule="auto"/>
        <w:rPr>
          <w:rFonts w:asciiTheme="majorHAnsi" w:hAnsiTheme="majorHAnsi" w:cstheme="majorHAnsi"/>
          <w:szCs w:val="24"/>
        </w:rPr>
      </w:pPr>
    </w:p>
    <w:p w14:paraId="2B16114D" w14:textId="77777777" w:rsidR="007B760F" w:rsidRPr="009B500E" w:rsidRDefault="00A840DC" w:rsidP="009B500E">
      <w:pPr>
        <w:spacing w:after="0" w:line="240" w:lineRule="auto"/>
        <w:rPr>
          <w:rFonts w:asciiTheme="majorHAnsi" w:hAnsiTheme="majorHAnsi" w:cstheme="majorHAnsi"/>
          <w:szCs w:val="24"/>
        </w:rPr>
      </w:pPr>
      <w:r w:rsidRPr="009B500E">
        <w:rPr>
          <w:rFonts w:asciiTheme="majorHAnsi" w:hAnsiTheme="majorHAnsi" w:cstheme="majorHAnsi"/>
          <w:szCs w:val="24"/>
        </w:rPr>
        <w:t>Every gene-RCD association in RCDome carries full source provenance and is verifiable against the published record. The compendium, extraction pipeline, and web platform are publicly available.</w:t>
      </w:r>
    </w:p>
    <w:p w14:paraId="08A27624" w14:textId="77777777" w:rsidR="00C11CC9" w:rsidRPr="009B500E" w:rsidRDefault="00C11CC9" w:rsidP="009B500E">
      <w:pPr>
        <w:pStyle w:val="Ttulo2"/>
        <w:spacing w:before="0" w:line="240" w:lineRule="auto"/>
        <w:rPr>
          <w:rFonts w:cstheme="majorHAnsi"/>
          <w:sz w:val="24"/>
          <w:szCs w:val="24"/>
        </w:rPr>
      </w:pPr>
    </w:p>
    <w:p w14:paraId="5B9AFB46" w14:textId="77777777" w:rsidR="00925876" w:rsidRPr="009B500E" w:rsidRDefault="00921C18" w:rsidP="009B500E">
      <w:pPr>
        <w:pStyle w:val="Ttulo2"/>
        <w:spacing w:before="0" w:line="240" w:lineRule="auto"/>
        <w:rPr>
          <w:rFonts w:cstheme="majorHAnsi"/>
          <w:sz w:val="24"/>
          <w:szCs w:val="24"/>
        </w:rPr>
      </w:pPr>
      <w:r w:rsidRPr="009B500E">
        <w:rPr>
          <w:rFonts w:cstheme="majorHAnsi"/>
          <w:sz w:val="24"/>
          <w:szCs w:val="24"/>
        </w:rPr>
        <w:t>MATERIAL AND METHODS</w:t>
      </w:r>
    </w:p>
    <w:p w14:paraId="63A68F1C"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Study Design and Strategy Overview</w:t>
      </w:r>
    </w:p>
    <w:p w14:paraId="07CD077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RCDome was conceived as a comprehensive, gene-centric, multi-source knowledge platform encompassing all described forms of RCD (Figure 1). The platform follows a layered, database-centered strategy in which each successive validation layer builds upon the database compilation foundation without overwriting earlier results: Layer 0 (Database Compilation), Layer 1 (NCBI + DeepSeek Abstract Validation), Layer 2 (Europe PMC + DeepSeek Full-Text Recovery), Layer 3 (Europe PMC XML Deep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independent resources organized into four evidence channels; (iii) integration into a unified, traceability-compliant gene-RCD association matrix; and (iv) deployment as a publicly available interactive web platform.</w:t>
      </w:r>
    </w:p>
    <w:p w14:paraId="5FA4B925" w14:textId="77777777" w:rsidR="00EC5F2D" w:rsidRPr="009B500E" w:rsidRDefault="00EC5F2D" w:rsidP="009B500E">
      <w:pPr>
        <w:spacing w:after="0" w:line="240" w:lineRule="auto"/>
        <w:rPr>
          <w:rFonts w:asciiTheme="majorHAnsi" w:hAnsiTheme="majorHAnsi" w:cstheme="majorHAnsi"/>
          <w:szCs w:val="24"/>
        </w:rPr>
      </w:pPr>
    </w:p>
    <w:p w14:paraId="4D5FBAE0" w14:textId="77777777" w:rsidR="00EC5F2D" w:rsidRPr="009B500E" w:rsidRDefault="00EC5F2D" w:rsidP="009B500E">
      <w:pPr>
        <w:spacing w:after="0" w:line="240" w:lineRule="auto"/>
        <w:rPr>
          <w:rFonts w:asciiTheme="majorHAnsi" w:hAnsiTheme="majorHAnsi" w:cstheme="majorHAnsi"/>
          <w:b/>
          <w:bCs/>
          <w:szCs w:val="24"/>
        </w:rPr>
      </w:pPr>
    </w:p>
    <w:p w14:paraId="6C90F592" w14:textId="77777777" w:rsidR="005E2A6F"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Establishment of the Canonicalized RCD-Related Entity Vocabulary</w:t>
      </w:r>
    </w:p>
    <w:p w14:paraId="1029C5D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initial RCD form vocabulary is based on our prior work establishing operational definitions for 25 RCD forms based on the Nomenclature Committee on Cell Death (NCCD) 2018 consensus (</w:t>
      </w:r>
      <w:r w:rsidRPr="00E4335B">
        <w:rPr>
          <w:rFonts w:asciiTheme="majorHAnsi" w:hAnsiTheme="majorHAnsi" w:cstheme="majorHAnsi"/>
          <w:szCs w:val="24"/>
          <w:highlight w:val="magenta"/>
        </w:rPr>
        <w:t>Galluzzi et al., 2018,PMID:29362479</w:t>
      </w:r>
      <w:r w:rsidRPr="009B500E">
        <w:rPr>
          <w:rFonts w:asciiTheme="majorHAnsi" w:hAnsiTheme="majorHAnsi" w:cstheme="majorHAnsi"/>
          <w:szCs w:val="24"/>
        </w:rPr>
        <w:t>) and extended through AI-curated definitions {Rodrigues de Souza, 2025 #782030;Rodrigues de Souza, 2026 #784804}.These 25 forms comprised</w:t>
      </w:r>
      <w:r w:rsidRPr="00E4335B">
        <w:rPr>
          <w:rFonts w:asciiTheme="majorHAnsi" w:hAnsiTheme="majorHAnsi" w:cstheme="majorHAnsi"/>
          <w:color w:val="EE0000"/>
          <w:szCs w:val="24"/>
        </w:rPr>
        <w:t xml:space="preserve"> </w:t>
      </w:r>
      <w:r w:rsidRPr="00E4335B">
        <w:rPr>
          <w:rFonts w:asciiTheme="majorHAnsi" w:hAnsiTheme="majorHAnsi" w:cstheme="majorHAnsi"/>
          <w:color w:val="EE0000"/>
          <w:szCs w:val="24"/>
          <w:highlight w:val="cyan"/>
        </w:rPr>
        <w:t>20 executioner entities, 2 trigger events, and 3 functional</w:t>
      </w:r>
      <w:r w:rsidRPr="00E4335B">
        <w:rPr>
          <w:rFonts w:asciiTheme="majorHAnsi" w:hAnsiTheme="majorHAnsi" w:cstheme="majorHAnsi"/>
          <w:color w:val="EE0000"/>
          <w:szCs w:val="24"/>
        </w:rPr>
        <w:t xml:space="preserve"> </w:t>
      </w:r>
      <w:r w:rsidRPr="009B500E">
        <w:rPr>
          <w:rFonts w:asciiTheme="majorHAnsi" w:hAnsiTheme="majorHAnsi" w:cstheme="majorHAnsi"/>
          <w:szCs w:val="24"/>
        </w:rPr>
        <w:t xml:space="preserve">categories </w:t>
      </w:r>
      <w:r w:rsidRPr="009B500E">
        <w:rPr>
          <w:rFonts w:asciiTheme="majorHAnsi" w:hAnsiTheme="majorHAnsi" w:cstheme="majorHAnsi"/>
          <w:szCs w:val="24"/>
          <w:highlight w:val="yellow"/>
        </w:rPr>
        <w:t>(Supplementary Table S1).</w:t>
      </w:r>
      <w:r w:rsidR="009B500E" w:rsidRPr="009B500E">
        <w:rPr>
          <w:rFonts w:asciiTheme="majorHAnsi" w:hAnsiTheme="majorHAnsi" w:cstheme="majorHAnsi"/>
          <w:szCs w:val="24"/>
        </w:rPr>
        <w:t xml:space="preserve"> </w:t>
      </w:r>
    </w:p>
    <w:p w14:paraId="2D97C736" w14:textId="77777777" w:rsidR="00FF2AFC" w:rsidRPr="009B500E" w:rsidRDefault="00FF2AFC" w:rsidP="009B500E">
      <w:pPr>
        <w:spacing w:after="0" w:line="240" w:lineRule="auto"/>
        <w:rPr>
          <w:rFonts w:asciiTheme="majorHAnsi" w:hAnsiTheme="majorHAnsi" w:cstheme="majorHAnsi"/>
          <w:b/>
          <w:bCs/>
          <w:szCs w:val="24"/>
        </w:rPr>
      </w:pPr>
    </w:p>
    <w:p>
      <w:pPr/>
      <w:r>
        <w:t>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32C230F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During database discovery, newly emerging RCD forms were encountered, demanding systematic expansion. We executed a multi-layered literature and database surveillance strategy: (a) forward-citation tracking of NCCD 2018 article </w:t>
      </w:r>
      <w:r w:rsidRPr="00705A6F">
        <w:rPr>
          <w:rFonts w:asciiTheme="majorHAnsi" w:hAnsiTheme="majorHAnsi" w:cstheme="majorHAnsi"/>
          <w:szCs w:val="24"/>
          <w:highlight w:val="magenta"/>
        </w:rPr>
        <w:t>(Galluzzi et al., 2018)</w:t>
      </w:r>
      <w:r w:rsidRPr="009B500E">
        <w:rPr>
          <w:rFonts w:asciiTheme="majorHAnsi" w:hAnsiTheme="majorHAnsi" w:cstheme="majorHAnsi"/>
          <w:szCs w:val="24"/>
        </w:rPr>
        <w:t xml:space="preserve">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w:t>
      </w:r>
      <w:r w:rsidRPr="009B500E">
        <w:rPr>
          <w:rFonts w:asciiTheme="majorHAnsi" w:hAnsiTheme="majorHAnsi" w:cstheme="majorHAnsi"/>
          <w:szCs w:val="24"/>
          <w:highlight w:val="yellow"/>
        </w:rPr>
        <w:t>Supplementary Table S2).</w:t>
      </w:r>
    </w:p>
    <w:p w14:paraId="5EDE59F6" w14:textId="77777777" w:rsidR="00EC5F2D" w:rsidRPr="009B500E" w:rsidRDefault="00EC5F2D" w:rsidP="009B500E">
      <w:pPr>
        <w:spacing w:after="0" w:line="240" w:lineRule="auto"/>
        <w:rPr>
          <w:rFonts w:asciiTheme="majorHAnsi" w:hAnsiTheme="majorHAnsi" w:cstheme="majorHAnsi"/>
          <w:szCs w:val="24"/>
        </w:rPr>
      </w:pPr>
    </w:p>
    <w:p w14:paraId="132E1C7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Candidate RCD forms were validated against five criteria adapted from the NCCD framework {Galluzzi, 2018 #782025}: (C1) possession of distinct molecular machinery not fully subsumed by another form; (C2) an identifiable biochemical or biophysical trigger; (C3) a characteristic and reproducible morphological phenotype; (C4) explicit naming in at least one peer-reviewed publication; and (C5) pharmacological or genetic distinguishability from other forms. Co-activation umbrellas (e.g., PANoptosis {Pandian, 2022 #783830}) and morphological descriptors without distinct mechanisms were classified as conceptual categories. Following the biological curation, admission to the modality level (L1) was additionally governed by hard gates G0-G6 (whole-cell death, causal machinery, functional necessity/distinguishability, supportive phenotype, naming/provenance, replication/maturity, and species scope), which operationalize C1-C5 with G1 (machinery) and G2 (necessity) obligatory. The resulting five-level ontology is encoded in the unified matrix as two columns (rcdome_level and rcdome_level_name), preserving the external multi-optosis classification (rodr_category) untouched (Supplementary Table S3; Supplementary Table S4). The adjudication framework and its governance are documented in Supplementary Note S1.</w:t>
      </w:r>
      <w:r w:rsidRPr="0022059B">
        <w:rPr>
          <w:rFonts w:asciiTheme="majorHAnsi" w:hAnsiTheme="majorHAnsi" w:cstheme="majorHAnsi"/>
          <w:szCs w:val="24"/>
          <w:highlight w:val="yellow"/>
        </w:rPr>
      </w:r>
      <w:r w:rsidRPr="009B500E">
        <w:rPr>
          <w:rFonts w:asciiTheme="majorHAnsi" w:hAnsiTheme="majorHAnsi" w:cstheme="majorHAnsi"/>
          <w:szCs w:val="24"/>
        </w:rPr>
      </w:r>
      <w:r w:rsidRPr="0022059B">
        <w:rPr>
          <w:rFonts w:asciiTheme="majorHAnsi" w:hAnsiTheme="majorHAnsi" w:cstheme="majorHAnsi"/>
          <w:szCs w:val="24"/>
          <w:highlight w:val="yellow"/>
        </w:rPr>
      </w:r>
      <w:r w:rsidRPr="009B500E">
        <w:rPr>
          <w:rFonts w:asciiTheme="majorHAnsi" w:hAnsiTheme="majorHAnsi" w:cstheme="majorHAnsi"/>
          <w:szCs w:val="24"/>
        </w:rPr>
      </w:r>
      <w:r w:rsidRPr="003F3DE6">
        <w:rPr>
          <w:rFonts w:asciiTheme="majorHAnsi" w:hAnsiTheme="majorHAnsi" w:cstheme="majorHAnsi"/>
          <w:color w:val="auto"/>
          <w:szCs w:val="24"/>
        </w:rPr>
      </w:r>
    </w:p>
    <w:p w14:paraId="6B06E2DC" w14:textId="77777777" w:rsidR="005E2A6F" w:rsidRPr="009B500E" w:rsidRDefault="005E2A6F" w:rsidP="009B500E">
      <w:pPr>
        <w:spacing w:after="0" w:line="240" w:lineRule="auto"/>
        <w:rPr>
          <w:rFonts w:asciiTheme="majorHAnsi" w:hAnsiTheme="majorHAnsi" w:cstheme="majorHAnsi"/>
          <w:szCs w:val="24"/>
        </w:rPr>
      </w:pPr>
    </w:p>
    <w:p w14:paraId="023A05C4"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Operational definitions of RCD entities</w:t>
      </w:r>
    </w:p>
    <w:p w14:paraId="06FBDCCA" w14:textId="77777777" w:rsidR="00A82E1A" w:rsidRPr="009B500E" w:rsidRDefault="00000000" w:rsidP="009B500E">
      <w:pPr>
        <w:spacing w:after="0" w:line="240" w:lineRule="auto"/>
        <w:rPr>
          <w:rFonts w:asciiTheme="majorHAnsi" w:hAnsiTheme="majorHAnsi" w:cstheme="majorHAnsi"/>
          <w:szCs w:val="24"/>
        </w:rPr>
      </w:pPr>
      <w:r>
        <w:t>The operational definitions were developed through AI-assisted analysis under human supervision, using dedicated code and systematic human validation (two-call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(Database S1; 22,473 rows; 21,568 gene-RCD pairs). The controlled vocabulary is fixed and is not modified by downstream definition work. Each entity's operational definition was assigned from the highest-priority source available, in the order: (i) the verbatim operational definitions of the Nomenclature Committee on Cell Death (NCCD; Galluzzi et al. 2018, PMID 29362479), treated as invariant (content and meaning never altered); (ii) the expanded operational definitions of our prior study (Rodrigues de Souza et al. 2025, hereafter the multi-optosis dataset), preserved verbatim; and (iii) for entities lacking a committee definition, a de novo definition drafted from the original discovery article (founding PMID), written in the NCCD C1–C5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r/>
    </w:p>
    <w:p w14:paraId="0751E7C9" w14:textId="77777777" w:rsidR="004A5E2F" w:rsidRDefault="004A5E2F" w:rsidP="009B500E">
      <w:pPr>
        <w:spacing w:after="0" w:line="240" w:lineRule="auto"/>
      </w:pPr>
    </w:p>
    <w:p w14:paraId="6C35CF8B" w14:textId="77777777" w:rsidR="00A82E1A" w:rsidRDefault="00000000" w:rsidP="009B500E">
      <w:pPr>
        <w:spacing w:after="0" w:line="240" w:lineRule="auto"/>
      </w:pPr>
      <w:r>
        <w:t>Each RCD entity is represented by a 38-field record comprising three evidence layers: (i) definition — the operational definition (prose), key molecules, inflammatory status, description of overlaps, category, and year of discovery; (ii) quantified ranking — the six criteria C1–C6 and the overall score S; and (iii) provenance — the founding PMID, reference PMID and citation, primary and secondary evidence PMIDs, the authoring source, the contributing source databases and channels, the provenance note, the definition status, the source-of-definition flag (NCCD-verbatim, multi-optosis-dataset, or RCDome-drafted), and seven orthogonal ontological dimensions (species_scope, evidence_maturity, relationship_type, parent_entity, ontology_curator_verified, independent_replication, primary_discovery_reference).</w:t>
      </w:r>
    </w:p>
    <w:p w14:paraId="6767E7A8" w14:textId="77777777" w:rsidR="001E0E68" w:rsidRPr="009B500E" w:rsidRDefault="001E0E68" w:rsidP="009B500E">
      <w:pPr>
        <w:spacing w:after="0" w:line="240" w:lineRule="auto"/>
        <w:rPr>
          <w:rFonts w:asciiTheme="majorHAnsi" w:hAnsiTheme="majorHAnsi" w:cstheme="majorHAnsi"/>
          <w:szCs w:val="24"/>
        </w:rPr>
      </w:pPr>
    </w:p>
    <w:p w14:paraId="182EFB04" w14:textId="77777777" w:rsidR="0065188A" w:rsidRPr="009B500E" w:rsidRDefault="00000000" w:rsidP="009B500E">
      <w:pPr>
        <w:spacing w:after="0" w:line="240" w:lineRule="auto"/>
        <w:rPr>
          <w:rFonts w:asciiTheme="majorHAnsi" w:hAnsiTheme="majorHAnsi" w:cstheme="majorHAnsi"/>
          <w:szCs w:val="24"/>
        </w:rPr>
      </w:pPr>
      <w:r w:rsidRPr="001E0E68">
        <w:rPr>
          <w:rFonts w:asciiTheme="majorHAnsi" w:hAnsiTheme="majorHAnsi" w:cstheme="majorHAnsi"/>
          <w:i/>
          <w:iCs/>
          <w:szCs w:val="24"/>
        </w:rPr>
        <w:t>The evidence_maturity</w:t>
      </w:r>
      <w:r w:rsidRPr="009B500E">
        <w:rPr>
          <w:rFonts w:asciiTheme="majorHAnsi" w:hAnsiTheme="majorHAnsi" w:cstheme="majorHAnsi"/>
          <w:szCs w:val="24"/>
        </w:rPr>
        <w:t xml:space="preserve"> dimension records the consensus status of each entity as established, supported, emerging, legacy, or provisional.</w:t>
      </w:r>
    </w:p>
    <w:p w14:paraId="5D6079E8" w14:textId="77777777" w:rsidR="00A82E1A" w:rsidRPr="009B500E" w:rsidRDefault="00000000" w:rsidP="009B500E">
      <w:pPr>
        <w:spacing w:after="0" w:line="240" w:lineRule="auto"/>
        <w:rPr>
          <w:rFonts w:asciiTheme="majorHAnsi" w:hAnsiTheme="majorHAnsi" w:cstheme="majorHAnsi"/>
          <w:szCs w:val="24"/>
        </w:rPr>
      </w:pPr>
      <w:r>
        <w:t>Quantified scoring. The six multi-optosis criteria were retained — C1 extent of research (25%), C2 direct involvement (25%), C3 impact on cell/tissue homeostasis (20%), C4 emerging potential (15%), C5 biological significance (10%), and C6 pathophysiological relevance (5%) — each scored 1–10. Three criteria were reinterpreted from the cancer-oriented Rodrigues usage to the cell-biology scope of the RCDome: C2 ("direct involvement in cancer therapy" → "direct involvement"), C3 ("impact on cancer progression" → "impact on cell/tissue homeostasis"), and C6 ("clinical relevance" → "pathophysiological relevance"). The overall score follows the deterministic weighted formula S = 0.25·C1 + 0.25·C2 + 0.20·C3 + 0.15·C4 + 0.10·C5 + 0.05·C6, which reproduces all 25 the multi-optosis anchors exactly. The C1–C6 values are expert judgments, not computable from gene counts (necrosis, 1,092 genes, is scored C1 = 4 whereas cuproptosis, 77 genes, is scored C1 = 7), demonstrating that the criteria are semantic. Consequently, for the entities without a committee definition the C1–C6 values were drafted from a rubric informed by matrix objective inputs (gene count, mechanistic classification ratio, evidence-tier distribution, and discovery year) and then subjected to two-call human review.</w:t>
      </w:r>
    </w:p>
    <w:p w14:paraId="59318EA0" w14:textId="77777777" w:rsidR="009B500E" w:rsidRDefault="009B500E" w:rsidP="009B500E">
      <w:pPr>
        <w:spacing w:after="0" w:line="240" w:lineRule="auto"/>
        <w:rPr>
          <w:rFonts w:asciiTheme="majorHAnsi" w:hAnsiTheme="majorHAnsi" w:cstheme="majorHAnsi"/>
          <w:szCs w:val="24"/>
        </w:rPr>
      </w:pPr>
    </w:p>
    <w:p w14:paraId="5D3965B1" w14:textId="77777777" w:rsidR="0065188A"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Hard gates (L1 admission). Following the biological curation, admission of an entity to the modality level (L1) was governed by hard gates G0-G6: G0 whole-cell death (irreversible), G1 identifiable causal machinery (obligatory), G2 functional necessity/distinguishability (obligatory), G3 supportive phenotype/trigger, G4 published name (necessary for traceability, not sufficient for mechanism), G5 independent replication (defines maturity), and G6 species scope. These gates operationalize the NCCD C1-C5 criteria (G1 ~ C1 machinery; G2 ~ C5 modulation; G3 ~ C2/C3 trigger and morphology; G4 ~ C4 naming). Entities passing G1 and G2 were classified hard_gate_status = L1-ELIGIBLE (16/53); the remainder were NOT-L1 (subtypes, triggers, umbrellas, morphology, contextual, and taxon-specific programs). The multi-optosis C1-C6 scoring remains an orthogonal ranking metric, not an admission gate. Independent replication (G5) remains pending for all 53 entities, recorded as 'pending' until curated (allowed values: none, limited, multiple).</w:t>
      </w:r>
    </w:p>
    <w:p>
      <w:r>
        <w:t>Relationship to the NCCD “canonical” ontology. The 16 L1 modalities are deliberately a subset of a larger reference set, not a relabeling of it. The Nomenclature Committee on Cell Death (NCCD) assigns operational definitions to 20 entities that it terms “canonical”; RCDome retains those 20 definitions verbatim (invariant) but applies a stricter, mechanistic admission criterion before any entity is elevated to L1. Of the 16 RCDome L1 entities, 9 carry NCCD-verbatim definitions (ferroptosis, necroptosis, pyroptosis, entosis, NETosis, parthanatos, MPT-driven necrosis, autophagy-dependent cell death, and lysosome-dependent cell death). Seven L1 entities fall outside the NCCD 2018 list: apoptosis (which the NCCD splits into extrinsic and intrinsic subtypes, both retained at L2 in RCDome) and six modalities not included in the NCCD 2018 list — cuproptosis, disulfidptosis, methuosis, oxeiptosis, paraptosis, and alkaliptosis — admitted on the strength of their distinct machinery and functional necessity. Conversely, 11 NCCD-verbatim entities are not L1 because they are subtypes (anoikis, extrinsic and intrinsic apoptosis, autosis, lysosomal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(G1) and functional necessity/distinguishability (G2). RCDome therefore treats the NCCD list as a nomenclature baseline and re-screens it through the G0–G6 hard gates, rather than equating “named by the NCCD” with “mechanistically established as an independent death program.”</w:t>
      </w:r>
    </w:p>
    <w:p w14:paraId="7DFF21C5" w14:textId="77777777" w:rsidR="009B500E" w:rsidRPr="009B500E" w:rsidRDefault="009B500E" w:rsidP="009B500E">
      <w:pPr>
        <w:spacing w:after="0" w:line="240" w:lineRule="auto"/>
        <w:rPr>
          <w:rFonts w:asciiTheme="majorHAnsi" w:hAnsiTheme="majorHAnsi" w:cstheme="majorHAnsi"/>
          <w:szCs w:val="24"/>
        </w:rPr>
      </w:pPr>
    </w:p>
    <w:p w14:paraId="3FBF870A" w14:textId="77777777" w:rsidR="00A82E1A" w:rsidRDefault="00000000" w:rsidP="009B500E">
      <w:pPr>
        <w:spacing w:after="0" w:line="240" w:lineRule="auto"/>
        <w:rPr>
          <w:rFonts w:asciiTheme="majorHAnsi" w:hAnsiTheme="majorHAnsi" w:cstheme="majorHAnsi"/>
          <w:szCs w:val="24"/>
        </w:rPr>
      </w:pPr>
      <w:r>
        <w:lastRenderedPageBreak/>
        <w:t>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the multi-optosis dataset spreadsheet from. (2) Primacy of provenance (P0–P3): no entity is ever deleted; composite or derived labels are retained with an explicit provenance note and the evidence PMIDs of their parent entities; a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Two-call human verification: each drafted field was produced by an assistant (call A) and is approved, edited, or rejected by a human (call B), with every decision logged to its source for traceability.</w:t>
      </w:r>
    </w:p>
    <w:p w14:paraId="31AC69DE" w14:textId="77777777" w:rsidR="009B500E" w:rsidRPr="009B500E" w:rsidRDefault="009B500E" w:rsidP="009B500E">
      <w:pPr>
        <w:spacing w:after="0" w:line="240" w:lineRule="auto"/>
        <w:rPr>
          <w:rFonts w:asciiTheme="majorHAnsi" w:hAnsiTheme="majorHAnsi" w:cstheme="majorHAnsi"/>
          <w:szCs w:val="24"/>
        </w:rPr>
      </w:pPr>
    </w:p>
    <w:p w14:paraId="3E663E51" w14:textId="77777777" w:rsidR="00A82E1A" w:rsidRPr="009B500E" w:rsidRDefault="00000000" w:rsidP="009B500E">
      <w:pPr>
        <w:spacing w:after="0" w:line="240" w:lineRule="auto"/>
        <w:rPr>
          <w:rFonts w:asciiTheme="majorHAnsi" w:hAnsiTheme="majorHAnsi" w:cstheme="majorHAnsi"/>
          <w:szCs w:val="24"/>
        </w:rPr>
      </w:pPr>
      <w:r>
        <w:t xml:space="preserve">Every operational definition is anchored to a reference PMID: the NCCD verbatim definitions to Galluzzi </w:t>
      </w:r>
      <w:r>
        <w:rPr>
          <w:i/>
        </w:rPr>
        <w:t>et al.</w:t>
      </w:r>
      <w:r>
        <w:t xml:space="preserve"> (PMID 29362479), the multi-optosis definitions to their primary characterization PMIDs, and the </w:t>
      </w:r>
      <w:r>
        <w:rPr>
          <w:i/>
        </w:rPr>
        <w:t>de novo</w:t>
      </w:r>
      <w:r>
        <w:t xml:space="preserve"> definitions to their founding PMID. The 25 multi-optosis entities additionally carry their full primary and secondary evidence PMIDs from the multi-optosis reference table. Each </w:t>
      </w:r>
      <w:r>
        <w:rPr>
          <w:i/>
        </w:rPr>
        <w:t>de novo</w:t>
      </w:r>
      <w:r>
        <w:t xml:space="preserve"> definition was corroborated against independent evidence streams —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where no PMC full text was available, full-text recovery was additionally attempted via Europe PMC, and where the article remained paywalled the Consensus academic search API provided a full-text-derived takeaway as the richest available evidence, so that no definition was rejected on an abstract gap alone. Definitions whose founding article does not yet describe the C2 trigger or C3 morphology required by the NCCD logic were flagged criterion-pending, and umbrella categories were flagged umbrella-scope rather than as errors.</w:t>
      </w:r>
    </w:p>
    <w:p w14:paraId="73718D01" w14:textId="77777777" w:rsidR="009B500E" w:rsidRDefault="009B500E" w:rsidP="009B500E">
      <w:pPr>
        <w:spacing w:after="0" w:line="240" w:lineRule="auto"/>
        <w:rPr>
          <w:rFonts w:asciiTheme="majorHAnsi" w:hAnsiTheme="majorHAnsi" w:cstheme="majorHAnsi"/>
          <w:szCs w:val="24"/>
        </w:rPr>
      </w:pPr>
    </w:p>
    <w:p w14:paraId="663B4890" w14:textId="77777777" w:rsidR="00A82E1A" w:rsidRPr="009B500E" w:rsidRDefault="00000000" w:rsidP="009B500E">
      <w:pPr>
        <w:spacing w:after="0" w:line="240" w:lineRule="auto"/>
        <w:rPr>
          <w:rFonts w:asciiTheme="majorHAnsi" w:hAnsiTheme="majorHAnsi" w:cstheme="majorHAnsi"/>
          <w:szCs w:val="24"/>
        </w:rPr>
      </w:pPr>
      <w:r>
        <w:t>Consistent with the two-call principle of our prior multi-optosis study — in which the operational definitions of the five RCD forms not described by the NCCD were extracted by generative AI (GPT-4o, via the PDF Ai Drive tool, over a corpus of 6,603 free-access PDFs) and subsequently validated by manual review — the RCDome employed a distinct AI instrument set. Definitions lacking a committee definition were drafted by an assistant and substantiated by a three-stream validation: (i) DeepSeek (deepseek-chat and deepseek-reasoner)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two-call human review (approve, edit, or reject), with each decision logged to its source; no definition was accepted on the basis of AI output alone. The NCCD-verbatim and multi-optosis-verbatim definitions were preserved byte-identical to their sources and were not re-generated.</w:t>
      </w:r>
    </w:p>
    <w:p w14:paraId="0B5B970E" w14:textId="77777777" w:rsidR="009B500E" w:rsidRDefault="009B500E" w:rsidP="009B500E">
      <w:pPr>
        <w:spacing w:after="0" w:line="240" w:lineRule="auto"/>
        <w:rPr>
          <w:rFonts w:asciiTheme="majorHAnsi" w:hAnsiTheme="majorHAnsi" w:cstheme="majorHAnsi"/>
          <w:szCs w:val="24"/>
        </w:rPr>
      </w:pPr>
    </w:p>
    <w:p w14:paraId="53BEA649" w14:textId="77777777" w:rsidR="00A82E1A" w:rsidRPr="009B500E" w:rsidRDefault="00864C50" w:rsidP="009B500E">
      <w:pPr>
        <w:spacing w:after="0" w:line="240" w:lineRule="auto"/>
        <w:rPr>
          <w:rFonts w:asciiTheme="majorHAnsi" w:hAnsiTheme="majorHAnsi" w:cstheme="majorHAnsi"/>
          <w:szCs w:val="24"/>
        </w:rPr>
      </w:pPr>
      <w:r w:rsidRPr="009B500E">
        <w:rPr>
          <w:rFonts w:asciiTheme="majorHAnsi" w:hAnsiTheme="majorHAnsi" w:cstheme="majorHAnsi"/>
          <w:szCs w:val="24"/>
        </w:rPr>
        <w:lastRenderedPageBreak/>
        <w:t>The RCDome decoder (the curated 53-entity reference of operational definitions, key molecules, ontological category, and scored evidence)</w:t>
      </w:r>
      <w:r w:rsidR="00D16F02">
        <w:rPr>
          <w:rFonts w:asciiTheme="majorHAnsi" w:hAnsiTheme="majorHAnsi" w:cstheme="majorHAnsi"/>
          <w:szCs w:val="24"/>
        </w:rPr>
        <w:t xml:space="preserve"> </w:t>
      </w:r>
      <w:r w:rsidRPr="009B500E">
        <w:rPr>
          <w:rFonts w:asciiTheme="majorHAnsi" w:hAnsiTheme="majorHAnsi" w:cstheme="majorHAnsi"/>
          <w:szCs w:val="24"/>
        </w:rPr>
        <w:t>was audited for completeness, score reproducibility (the composite score S (0.25·C1 + 0.25·C2 + 0.20·C3 + 0.15·C4 + 0.10·C5 + 0.05·C6) recomputed bitwise for every record), PMID verifiability (Knock Test), calibration (draft scores versus the locked anchors), and invariance (NCCD definitions byte-identical to the source). Inter-rater agreement between the drafted and human-reviewed C1–C6 values is reported as Cohen's κ (target ≥ 0.80). All definition-building code and the resulting 53-entity decoder are provided in the reproducibility repository. The two-call human review was completed with a bulk approval of all 336 drafted fields, and each decision is logged; inter-rater agreement between the drafted and human-reviewed values is reported as Cohen's κ where the review includes independent edits.</w:t>
      </w:r>
    </w:p>
    <w:p w14:paraId="53FE332F" w14:textId="77777777" w:rsidR="009B500E" w:rsidRDefault="009B500E" w:rsidP="009B500E">
      <w:pPr>
        <w:spacing w:after="0" w:line="240" w:lineRule="auto"/>
        <w:rPr>
          <w:rFonts w:asciiTheme="majorHAnsi" w:hAnsiTheme="majorHAnsi" w:cstheme="majorHAnsi"/>
          <w:b/>
          <w:bCs/>
          <w:szCs w:val="24"/>
        </w:rPr>
      </w:pPr>
    </w:p>
    <w:p w14:paraId="59FE64CB"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Multi-Channel Gene Compilation Architecture</w:t>
      </w:r>
    </w:p>
    <w:p w14:paraId="0F6DADF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Gene-level evidence for each of th</w:t>
      </w:r>
      <w:r w:rsidR="00635000">
        <w:rPr>
          <w:rFonts w:asciiTheme="majorHAnsi" w:hAnsiTheme="majorHAnsi" w:cstheme="majorHAnsi"/>
          <w:szCs w:val="24"/>
        </w:rPr>
        <w:t xml:space="preserve">e RCD forms </w:t>
      </w:r>
      <w:r w:rsidRPr="009B500E">
        <w:rPr>
          <w:rFonts w:asciiTheme="majorHAnsi" w:hAnsiTheme="majorHAnsi" w:cstheme="majorHAnsi"/>
          <w:szCs w:val="24"/>
        </w:rPr>
        <w:t xml:space="preserve">was compiled through four independent but complementary channels, designed to maximize both recall (Channel A: PubMed Boolean searches) and precision (Channels B, C, D: curated databases, AI-assisted screening, and manual curation) </w:t>
      </w:r>
      <w:r w:rsidRPr="009B500E">
        <w:rPr>
          <w:rFonts w:asciiTheme="majorHAnsi" w:hAnsiTheme="majorHAnsi" w:cstheme="majorHAnsi"/>
          <w:szCs w:val="24"/>
          <w:highlight w:val="green"/>
        </w:rPr>
        <w:t>(Figure 1).</w:t>
      </w:r>
    </w:p>
    <w:p w14:paraId="7DB7BDFC" w14:textId="77777777" w:rsidR="00EC5F2D" w:rsidRPr="009B500E" w:rsidRDefault="00EC5F2D" w:rsidP="009B500E">
      <w:pPr>
        <w:spacing w:after="0" w:line="240" w:lineRule="auto"/>
        <w:rPr>
          <w:rFonts w:asciiTheme="majorHAnsi" w:hAnsiTheme="majorHAnsi" w:cstheme="majorHAnsi"/>
          <w:szCs w:val="24"/>
        </w:rPr>
      </w:pPr>
    </w:p>
    <w:p w14:paraId="0D0063E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Channel A: Programmatic PubMed Boolean Searches. The curated gene database from </w:t>
      </w:r>
      <w:r w:rsidR="002705CC" w:rsidRPr="009B500E">
        <w:rPr>
          <w:rFonts w:asciiTheme="majorHAnsi" w:hAnsiTheme="majorHAnsi" w:cstheme="majorHAnsi"/>
          <w:szCs w:val="24"/>
          <w:highlight w:val="yellow"/>
        </w:rPr>
        <w:t>{Rodrigues de Souza, 2025 #782030;Rodrigues de Souza, 2026 #784804}</w:t>
      </w:r>
      <w:r w:rsidRPr="009B500E">
        <w:rPr>
          <w:rFonts w:asciiTheme="majorHAnsi" w:hAnsiTheme="majorHAnsi" w:cstheme="majorHAnsi"/>
          <w:szCs w:val="24"/>
        </w:rPr>
        <w:t xml:space="preserve"> served as the gene universe for Boolean queries. For each gene in CIB, we executed PubMed E-utilities queries pairing the gene symbol with each RCD form term and cancer-relevant filters: "[GENE]"[Gene] AND ("[RCD_TERM]"[Title/Abstract] OR "[RCD_ALIAS]"[Title/Abstract]) AND (cancer[Title/Abstract] OR tumor[Title/Abstract]).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(channel_a_rodrigues2025.py).</w:t>
      </w:r>
    </w:p>
    <w:p w14:paraId="6305A2C1" w14:textId="77777777" w:rsidR="00EC5F2D" w:rsidRPr="009B500E" w:rsidRDefault="00EC5F2D" w:rsidP="009B500E">
      <w:pPr>
        <w:spacing w:after="0" w:line="240" w:lineRule="auto"/>
        <w:rPr>
          <w:rFonts w:asciiTheme="majorHAnsi" w:hAnsiTheme="majorHAnsi" w:cstheme="majorHAnsi"/>
          <w:color w:val="EE0000"/>
          <w:szCs w:val="24"/>
        </w:rPr>
      </w:pPr>
    </w:p>
    <w:p w14:paraId="6A41C065" w14:textId="77777777" w:rsidR="00925876" w:rsidRPr="00AC138D" w:rsidRDefault="00925876" w:rsidP="009B500E">
      <w:r>
        <w:t xml:space="preserve">Channel B: Topic-Specific Database Extraction. Twenty independent resources were systematically queried for RCD-associated genes (Supplementary Table S2). Tier 1 comprised 10 RCD-specific curated databases: FerrDB v3 (22 RCD modalities, 3,481 unique genes; </w:t>
      </w:r>
      <w:hyperlink r:id="rId13">
        <w:r>
          <w:rPr>
            <w:rStyle w:val="Hyperlink"/>
          </w:rPr>
          <w:t>http://www.zhounan.org/ferrdb</w:t>
        </w:r>
      </w:hyperlink>
      <w:r>
        <w:t xml:space="preserve">; PMID 41171133), RCDdb (15 RCD types, 1,846 unique genes; </w:t>
      </w:r>
      <w:hyperlink r:id="rId14">
        <w:r>
          <w:rPr>
            <w:rStyle w:val="Hyperlink"/>
          </w:rPr>
          <w:t>http://chenyclab.com/RCDdb</w:t>
        </w:r>
      </w:hyperlink>
      <w:r>
        <w:t xml:space="preserve">; PMID 39257527), iPCD (15 RCD forms, filtered to 3,393 Homo sapiens genes; </w:t>
      </w:r>
      <w:hyperlink r:id="rId15">
        <w:r>
          <w:rPr>
            <w:rStyle w:val="Hyperlink"/>
          </w:rPr>
          <w:t>https://ipcd.biocuckoo.cn</w:t>
        </w:r>
      </w:hyperlink>
      <w:r>
        <w:t xml:space="preserve">; PMID 35805101), LncRCD (12 RCD types, 1,595 protein-coding target genes; </w:t>
      </w:r>
      <w:hyperlink r:id="rId16">
        <w:r>
          <w:rPr>
            <w:rStyle w:val="Hyperlink"/>
          </w:rPr>
          <w:t>https://lncrcddb.bio-database.com</w:t>
        </w:r>
      </w:hyperlink>
      <w:r>
        <w:t xml:space="preserve">; PMID 42231908), iLIR (6,087 LC3-interacting region proteins; </w:t>
      </w:r>
      <w:hyperlink r:id="rId17">
        <w:r>
          <w:rPr>
            <w:rStyle w:val="Hyperlink"/>
          </w:rPr>
          <w:t>https://ilir.warwick.ac.uk</w:t>
        </w:r>
      </w:hyperlink>
      <w:r>
        <w:t xml:space="preserve">; PMID 27484196), HADb (371 human autophagy genes; </w:t>
      </w:r>
      <w:hyperlink r:id="rId18">
        <w:r>
          <w:rPr>
            <w:rStyle w:val="Hyperlink"/>
          </w:rPr>
          <w:t>https://autophagy.lu</w:t>
        </w:r>
      </w:hyperlink>
      <w:r>
        <w:t xml:space="preserve">; PMID 20972215), HAMdb (551 human autophagy modulators; </w:t>
      </w:r>
      <w:hyperlink r:id="rId19">
        <w:r>
          <w:rPr>
            <w:rStyle w:val="Hyperlink"/>
          </w:rPr>
          <w:t>http://hamdb.scbdd.com</w:t>
        </w:r>
      </w:hyperlink>
      <w:r>
        <w:t xml:space="preserve">; PMID 30066211), ATD (87 autophagy-disease genes; </w:t>
      </w:r>
      <w:hyperlink r:id="rId20">
        <w:r>
          <w:rPr>
            <w:rStyle w:val="Hyperlink"/>
          </w:rPr>
          <w:t>http://auto2disease.nwsuaflmz.com</w:t>
        </w:r>
      </w:hyperlink>
      <w:r>
        <w:t xml:space="preserve">; PMID 30239683), AMT-DB (860 anti-tumor autophagy modulators; </w:t>
      </w:r>
      <w:hyperlink r:id="rId21">
        <w:r>
          <w:rPr>
            <w:rStyle w:val="Hyperlink"/>
          </w:rPr>
          <w:t>https://amtdb.vercel.app</w:t>
        </w:r>
      </w:hyperlink>
      <w:r>
        <w:t xml:space="preserve">; PMID 36016573), and ncFO (90 experimentally verified ncRNA-ferroptosis associations; </w:t>
      </w:r>
      <w:hyperlink r:id="rId22">
        <w:r>
          <w:rPr>
            <w:rStyle w:val="Hyperlink"/>
          </w:rPr>
          <w:t>http://www.jianglab.cn/ncFO</w:t>
        </w:r>
      </w:hyperlink>
      <w:r>
        <w:t>; PMID 36162726).</w:t>
      </w:r>
    </w:p>
    <w:p w14:paraId="777ECD50" w14:textId="77777777" w:rsidR="00AC138D" w:rsidRPr="009B500E" w:rsidRDefault="00AC138D" w:rsidP="009B500E">
      <w:pPr>
        <w:spacing w:after="0" w:line="240" w:lineRule="auto"/>
        <w:rPr>
          <w:rFonts w:asciiTheme="majorHAnsi" w:hAnsiTheme="majorHAnsi" w:cstheme="majorHAnsi"/>
          <w:color w:val="auto"/>
          <w:szCs w:val="24"/>
        </w:rPr>
      </w:pPr>
    </w:p>
    <w:p w14:paraId="5697621C" w14:textId="77777777" w:rsidR="00925876" w:rsidRPr="009B500E" w:rsidRDefault="00925876" w:rsidP="009B500E">
      <w:pPr>
        <w:spacing w:after="0" w:line="240" w:lineRule="auto"/>
        <w:rPr>
          <w:rFonts w:asciiTheme="majorHAnsi" w:hAnsiTheme="majorHAnsi" w:cstheme="majorHAnsi"/>
          <w:szCs w:val="24"/>
        </w:rPr>
      </w:pPr>
      <w:r>
        <w:lastRenderedPageBreak/>
        <w:t xml:space="preserve">Tier 2 comprised 5 pathway and molecular databases containing RCD-relevant subsets immersed within larger resources: KEGG (5 pathways via KGML parsing; </w:t>
      </w:r>
      <w:hyperlink r:id="rId23">
        <w:r>
          <w:rPr>
            <w:rStyle w:val="Hyperlink"/>
          </w:rPr>
          <w:t>https://rest.kegg.jp</w:t>
        </w:r>
      </w:hyperlink>
      <w:r>
        <w:t xml:space="preserve">; PMID 27899662), Reactome (Programmed Cell Death hierarchy R-HSA-5357801; </w:t>
      </w:r>
      <w:hyperlink r:id="rId24">
        <w:r>
          <w:rPr>
            <w:rStyle w:val="Hyperlink"/>
          </w:rPr>
          <w:t>https://reactome.org</w:t>
        </w:r>
      </w:hyperlink>
      <w:r>
        <w:t xml:space="preserve">; PMID 34788843), Gene Ontology (7 RCD-specific GO terms via QuickGO REST API; </w:t>
      </w:r>
      <w:hyperlink r:id="rId25">
        <w:r>
          <w:rPr>
            <w:rStyle w:val="Hyperlink"/>
          </w:rPr>
          <w:t>https://www.ebi.ac.uk/QuickGO</w:t>
        </w:r>
      </w:hyperlink>
      <w:r>
        <w:t xml:space="preserve">; PMID 36866529), MSigDB/GSEA (12 RCD-relevant gene sets in GMT format; </w:t>
      </w:r>
      <w:hyperlink r:id="rId26">
        <w:r>
          <w:rPr>
            <w:rStyle w:val="Hyperlink"/>
          </w:rPr>
          <w:t>https://www.gsea-msigdb.org</w:t>
        </w:r>
      </w:hyperlink>
      <w:r>
        <w:t>; PMID 21546393), and WikiPathways (</w:t>
      </w:r>
      <w:hyperlink r:id="rId27">
        <w:r>
          <w:rPr>
            <w:rStyle w:val="Hyperlink"/>
          </w:rPr>
          <w:t>https://www.wikipathways.org</w:t>
        </w:r>
      </w:hyperlink>
      <w:r>
        <w:t>; PMID 33211851). STRING (</w:t>
      </w:r>
      <w:hyperlink r:id="rId28">
        <w:r>
          <w:rPr>
            <w:rStyle w:val="Hyperlink"/>
          </w:rPr>
          <w:t>https://string-db.org</w:t>
        </w:r>
      </w:hyperlink>
      <w:r>
        <w:t>; PMID 36370105) and BioGRID (</w:t>
      </w:r>
      <w:hyperlink r:id="rId29">
        <w:r>
          <w:rPr>
            <w:rStyle w:val="Hyperlink"/>
          </w:rPr>
          <w:t>https://thebiogrid.org</w:t>
        </w:r>
      </w:hyperlink>
      <w:r>
        <w:t>; PMID 33070389) were used for protein-protein interaction annotation rather than gene extraction.</w:t>
      </w:r>
    </w:p>
    <w:p w14:paraId="089BA351" w14:textId="77777777" w:rsidR="00275E31" w:rsidRPr="009B500E" w:rsidRDefault="00275E31" w:rsidP="009B500E">
      <w:pPr>
        <w:spacing w:after="0" w:line="240" w:lineRule="auto"/>
        <w:rPr>
          <w:rFonts w:asciiTheme="majorHAnsi" w:hAnsiTheme="majorHAnsi" w:cstheme="majorHAnsi"/>
          <w:szCs w:val="24"/>
        </w:rPr>
      </w:pPr>
    </w:p>
    <w:p w14:paraId="55D5176B" w14:textId="77777777" w:rsidR="00925876" w:rsidRPr="009B500E" w:rsidRDefault="00921C18" w:rsidP="009B500E">
      <w:pPr>
        <w:spacing w:after="0" w:line="240" w:lineRule="auto"/>
        <w:rPr>
          <w:rFonts w:asciiTheme="majorHAnsi" w:hAnsiTheme="majorHAnsi" w:cstheme="majorHAnsi"/>
          <w:szCs w:val="24"/>
        </w:rPr>
      </w:pPr>
      <w:r>
        <w:t xml:space="preserve">Tier 3 comprised NCBI Gene (32 RCD form queries (run against the forms known at that pipeline stage; the final 53-form compilation retains 29 NCBI_Gene-contributed forms after synonym consolidation) via E-utilities API; </w:t>
      </w:r>
      <w:hyperlink r:id="rId30">
        <w:r>
          <w:rPr>
            <w:rStyle w:val="Hyperlink"/>
          </w:rPr>
          <w:t>https://eutils.ncbi.nlm.nih.gov</w:t>
        </w:r>
      </w:hyperlink>
      <w:r>
        <w:t xml:space="preserve">; PMID 25355515). Tier 4 databases (TCGA, </w:t>
      </w:r>
      <w:hyperlink r:id="rId31">
        <w:r>
          <w:rPr>
            <w:rStyle w:val="Hyperlink"/>
          </w:rPr>
          <w:t>https://www.cancer.gov/tcga</w:t>
        </w:r>
      </w:hyperlink>
      <w:r>
        <w:t xml:space="preserve">; PMID 24071849; GEO, </w:t>
      </w:r>
      <w:hyperlink r:id="rId32">
        <w:r>
          <w:rPr>
            <w:rStyle w:val="Hyperlink"/>
          </w:rPr>
          <w:t>https://www.ncbi.nlm.nih.gov/geo</w:t>
        </w:r>
      </w:hyperlink>
      <w:r>
        <w:t xml:space="preserve">; PMID 37933855; CPTAC, </w:t>
      </w:r>
      <w:hyperlink r:id="rId33">
        <w:r>
          <w:rPr>
            <w:rStyle w:val="Hyperlink"/>
          </w:rPr>
          <w:t>https://proteomics.cancer.gov/programs/cptac</w:t>
        </w:r>
      </w:hyperlink>
      <w:r>
        <w:t xml:space="preserve">; PMID 24124232; CCLE, </w:t>
      </w:r>
      <w:hyperlink r:id="rId34">
        <w:r>
          <w:rPr>
            <w:rStyle w:val="Hyperlink"/>
          </w:rPr>
          <w:t>https://sites.broadinstitute.org/ccle</w:t>
        </w:r>
      </w:hyperlink>
      <w:r>
        <w:t xml:space="preserve">; PMID 22460905; GDSC, </w:t>
      </w:r>
      <w:hyperlink r:id="rId35">
        <w:r>
          <w:rPr>
            <w:rStyle w:val="Hyperlink"/>
          </w:rPr>
          <w:t>https://www.depmap.org/portal/gdsc</w:t>
        </w:r>
      </w:hyperlink>
      <w:r>
        <w:t xml:space="preserve">; PMID 22460902; and DepMap, </w:t>
      </w:r>
      <w:hyperlink r:id="rId36">
        <w:r>
          <w:rPr>
            <w:rStyle w:val="Hyperlink"/>
          </w:rPr>
          <w:t>https://depmap.org</w:t>
        </w:r>
      </w:hyperlink>
      <w:r>
        <w:t>; PMID 28753430) were used for omic layer annotation rather than gene extraction.</w:t>
      </w:r>
    </w:p>
    <w:p w14:paraId="6AF0382A" w14:textId="77777777" w:rsidR="00EC5F2D" w:rsidRPr="009B500E" w:rsidRDefault="00EC5F2D" w:rsidP="009B500E">
      <w:pPr>
        <w:spacing w:after="0" w:line="240" w:lineRule="auto"/>
        <w:rPr>
          <w:rFonts w:asciiTheme="majorHAnsi" w:hAnsiTheme="majorHAnsi" w:cstheme="majorHAnsi"/>
          <w:szCs w:val="24"/>
        </w:rPr>
      </w:pPr>
    </w:p>
    <w:p w14:paraId="1CA78A5D"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(RCDome_MSigDB_Curadoria_Manual_Completa.xlsx): inclusion prioritized gene sets representing cell-death processes, executioner machinery, or 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p>
    <w:p w14:paraId="6273C2DD" w14:textId="77777777" w:rsidR="00EC5F2D" w:rsidRPr="009B500E" w:rsidRDefault="00EC5F2D" w:rsidP="009B500E">
      <w:pPr>
        <w:spacing w:after="0" w:line="240" w:lineRule="auto"/>
        <w:rPr>
          <w:rFonts w:asciiTheme="majorHAnsi" w:hAnsiTheme="majorHAnsi" w:cstheme="majorHAnsi"/>
          <w:szCs w:val="24"/>
        </w:rPr>
      </w:pPr>
    </w:p>
    <w:p w14:paraId="0E077127"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ncFO </w:t>
      </w:r>
      <w:r w:rsidR="0072338A" w:rsidRPr="009B500E">
        <w:rPr>
          <w:rFonts w:asciiTheme="majorHAnsi" w:hAnsiTheme="majorHAnsi" w:cstheme="majorHAnsi"/>
          <w:szCs w:val="24"/>
          <w:highlight w:val="yellow"/>
        </w:rPr>
        <w:t>{Zhou, 2023 #784803}</w:t>
      </w:r>
      <w:r w:rsidR="002E5FF2">
        <w:rPr>
          <w:rFonts w:asciiTheme="majorHAnsi" w:hAnsiTheme="majorHAnsi" w:cstheme="majorHAnsi"/>
          <w:szCs w:val="24"/>
        </w:rPr>
        <w:t>,</w:t>
      </w:r>
      <w:r w:rsidR="0072338A" w:rsidRPr="009B500E">
        <w:rPr>
          <w:rFonts w:asciiTheme="majorHAnsi" w:hAnsiTheme="majorHAnsi" w:cstheme="majorHAnsi"/>
          <w:szCs w:val="24"/>
        </w:rPr>
        <w:t xml:space="preserve"> </w:t>
      </w:r>
      <w:r w:rsidRPr="009B500E">
        <w:rPr>
          <w:rFonts w:asciiTheme="majorHAnsi" w:hAnsiTheme="majorHAnsi" w:cstheme="majorHAnsi"/>
          <w:szCs w:val="24"/>
        </w:rPr>
        <w:t xml:space="preserve">a curated database of experimentally verified ncRNA-ferroptosis associations, was integrated as a corroborating source for Ferroptosis: 50 HGNC-validated human miRNA and lncRNA genes were appended to existing Ferroptosis pairs (one new pair, MIR92A1); three entries were excluded (two clone names without HGNC identifiers and one miRNA withdrawn by miRBase). ncFO's human circRNA entries were </w:t>
      </w:r>
      <w:r w:rsidRPr="009B500E">
        <w:rPr>
          <w:rFonts w:asciiTheme="majorHAnsi" w:hAnsiTheme="majorHAnsi" w:cstheme="majorHAnsi"/>
          <w:szCs w:val="24"/>
        </w:rPr>
        <w:lastRenderedPageBreak/>
        <w:t>documented but not integrated, because circRNAs lack HGNC nomenclature and a complete circRNA layer would require class-wide curation across all RCD forms.</w:t>
      </w:r>
    </w:p>
    <w:p w14:paraId="4E8CA8FA" w14:textId="77777777" w:rsidR="00EC5F2D" w:rsidRPr="009B500E" w:rsidRDefault="00EC5F2D" w:rsidP="009B500E">
      <w:pPr>
        <w:spacing w:after="0" w:line="240" w:lineRule="auto"/>
        <w:rPr>
          <w:rFonts w:asciiTheme="majorHAnsi" w:hAnsiTheme="majorHAnsi" w:cstheme="majorHAnsi"/>
          <w:szCs w:val="24"/>
        </w:rPr>
      </w:pPr>
    </w:p>
    <w:p w14:paraId="053B676D"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We also considered the RCDscore compendium </w:t>
      </w:r>
      <w:r w:rsidR="0072338A" w:rsidRPr="009B500E">
        <w:rPr>
          <w:rFonts w:asciiTheme="majorHAnsi" w:hAnsiTheme="majorHAnsi" w:cstheme="majorHAnsi"/>
          <w:szCs w:val="24"/>
          <w:highlight w:val="yellow"/>
        </w:rPr>
        <w:t>{Zhang, 2024 #782727}</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a pan-cancer resource that collects 18 RCD signatures (11,206 </w:t>
      </w:r>
      <w:r w:rsidR="00705A6F">
        <w:rPr>
          <w:rFonts w:asciiTheme="majorHAnsi" w:hAnsiTheme="majorHAnsi" w:cstheme="majorHAnsi"/>
          <w:szCs w:val="24"/>
        </w:rPr>
        <w:t>gene-RCD</w:t>
      </w:r>
      <w:r w:rsidRPr="009B500E">
        <w:rPr>
          <w:rFonts w:asciiTheme="majorHAnsi" w:hAnsiTheme="majorHAnsi" w:cstheme="majorHAnsi"/>
          <w:szCs w:val="24"/>
        </w:rPr>
        <w:t xml:space="preserve"> pairs, 7,460 genes) from prior studies to predict overall survival and immune checkpoint inhibitor response. RCDscore was not integrated into the RCDome matrix because it catalogues gene pathways rather than curated </w:t>
      </w:r>
      <w:r w:rsidR="00705A6F">
        <w:rPr>
          <w:rFonts w:asciiTheme="majorHAnsi" w:hAnsiTheme="majorHAnsi" w:cstheme="majorHAnsi"/>
          <w:szCs w:val="24"/>
        </w:rPr>
        <w:t>gene-RCD</w:t>
      </w:r>
      <w:r w:rsidRPr="009B500E">
        <w:rPr>
          <w:rFonts w:asciiTheme="majorHAnsi" w:hAnsiTheme="majorHAnsi" w:cstheme="majorHAnsi"/>
          <w:szCs w:val="24"/>
        </w:rPr>
        <w:t xml:space="preserve"> association pairs: its signatures are broad GSVA/ssGSEA gene sets (up to 3,449 genes for a single form) whose membership reflects pathway involvement, not evidence of a specific role in the death mechanism. Accordingly, the 67.8% of gene</w:t>
      </w:r>
      <w:r w:rsidR="002E5FF2">
        <w:rPr>
          <w:rFonts w:asciiTheme="majorHAnsi" w:hAnsiTheme="majorHAnsi" w:cstheme="majorHAnsi"/>
          <w:szCs w:val="24"/>
        </w:rPr>
        <w:t xml:space="preserve">-RCD </w:t>
      </w:r>
      <w:r w:rsidRPr="009B500E">
        <w:rPr>
          <w:rFonts w:asciiTheme="majorHAnsi" w:hAnsiTheme="majorHAnsi" w:cstheme="majorHAnsi"/>
          <w:szCs w:val="24"/>
        </w:rPr>
        <w:t>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52FB6397" w14:textId="77777777" w:rsidR="00925876" w:rsidRPr="009B500E" w:rsidRDefault="00921C18" w:rsidP="009B500E">
      <w:pPr>
        <w:spacing w:after="0" w:line="240" w:lineRule="auto"/>
        <w:rPr>
          <w:rFonts w:asciiTheme="majorHAnsi" w:hAnsiTheme="majorHAnsi" w:cstheme="majorHAnsi"/>
          <w:szCs w:val="24"/>
        </w:rPr>
      </w:pPr>
      <w:r>
        <w:t>For each database, extraction was performed using dedicated Python scripts (channel_b_*.py), with all gene symbols validated against HGNC nomenclature. Every gene-RCD association was annotated with its source database, evidence type, and extraction timestamp.</w:t>
      </w:r>
    </w:p>
    <w:p w14:paraId="11286B07" w14:textId="77777777" w:rsidR="00EC5F2D" w:rsidRPr="009B500E" w:rsidRDefault="00EC5F2D" w:rsidP="009B500E">
      <w:pPr>
        <w:spacing w:after="0" w:line="240" w:lineRule="auto"/>
        <w:rPr>
          <w:rFonts w:asciiTheme="majorHAnsi" w:hAnsiTheme="majorHAnsi" w:cstheme="majorHAnsi"/>
          <w:color w:val="EE0000"/>
          <w:szCs w:val="24"/>
        </w:rPr>
      </w:pPr>
    </w:p>
    <w:p w14:paraId="569EB6D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Channel C: AI-Assisted Literature Exploration. The Consensus academic search engine was employed to screen the literature for gene-RCD associations not captured by Channels A or B. Every AI-extracted association was flagged as curator_verified = FALSE until manual expert review; following the completed review, all 53 entities carry ontology_curator_verified = TRUE (bulk human approval, logged 2026-09-05). The Consensus.ai academic search engine (</w:t>
      </w:r>
      <w:hyperlink r:id="rId37">
        <w:r w:rsidRPr="009B500E">
          <w:rPr>
            <w:rFonts w:asciiTheme="majorHAnsi" w:hAnsiTheme="majorHAnsi" w:cstheme="majorHAnsi"/>
            <w:color w:val="0563C1"/>
            <w:szCs w:val="24"/>
            <w:u w:val="single"/>
          </w:rPr>
          <w:t>https://consensus.app</w:t>
        </w:r>
      </w:hyperlink>
      <w:r w:rsidRPr="009B500E">
        <w:rPr>
          <w:rFonts w:asciiTheme="majorHAnsi" w:hAnsiTheme="majorHAnsi" w:cstheme="majorHAnsi"/>
          <w:szCs w:val="24"/>
        </w:rPr>
        <w:t>) was used for semantic searches across 200M+ papers, returning claim-level extractions with citation context.</w:t>
      </w:r>
    </w:p>
    <w:p w14:paraId="21D96B5D" w14:textId="77777777" w:rsidR="00EC5F2D" w:rsidRPr="009B500E" w:rsidRDefault="00EC5F2D" w:rsidP="009B500E">
      <w:pPr>
        <w:spacing w:after="0" w:line="240" w:lineRule="auto"/>
        <w:rPr>
          <w:rFonts w:asciiTheme="majorHAnsi" w:hAnsiTheme="majorHAnsi" w:cstheme="majorHAnsi"/>
          <w:szCs w:val="24"/>
        </w:rPr>
      </w:pPr>
    </w:p>
    <w:p w14:paraId="2CF8A20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596CDF2D" w14:textId="77777777" w:rsidR="00EC5F2D" w:rsidRPr="009B500E" w:rsidRDefault="00EC5F2D" w:rsidP="009B500E">
      <w:pPr>
        <w:spacing w:after="0" w:line="240" w:lineRule="auto"/>
        <w:rPr>
          <w:rFonts w:asciiTheme="majorHAnsi" w:hAnsiTheme="majorHAnsi" w:cstheme="majorHAnsi"/>
          <w:b/>
          <w:bCs/>
          <w:szCs w:val="24"/>
        </w:rPr>
      </w:pPr>
    </w:p>
    <w:p w14:paraId="40BAAC1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Gene-RCD Association Traceability Specification</w:t>
      </w:r>
    </w:p>
    <w:p w14:paraId="5469F4E1" w14:textId="77777777" w:rsid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 curator-verification status (the ontology_curator_verified field), which was set to TRUE for all 53 entities following bulk human approval (logged 2026-09-05). An automated rejection engine enforces these rules at the integration step.</w:t>
      </w:r>
    </w:p>
    <w:p w14:paraId="7FE450D9" w14:textId="77777777" w:rsidR="009B500E" w:rsidRDefault="009B500E" w:rsidP="009B500E">
      <w:pPr>
        <w:spacing w:after="0" w:line="240" w:lineRule="auto"/>
        <w:rPr>
          <w:rFonts w:asciiTheme="majorHAnsi" w:hAnsiTheme="majorHAnsi" w:cstheme="majorHAnsi"/>
          <w:szCs w:val="24"/>
        </w:rPr>
      </w:pPr>
    </w:p>
    <w:p w14:paraId="74FE915C"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Data Integration and Unified Gene-RCD Matrix</w:t>
      </w:r>
    </w:p>
    <w:p w14:paraId="651B726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Outputs from all four channels were merged into a unified gene-RCD association matrix using (gene_symbol, rcd_form) as the primary merge key, preserving the original RCD form </w:t>
      </w:r>
      <w:r w:rsidRPr="009B500E">
        <w:rPr>
          <w:rFonts w:asciiTheme="majorHAnsi" w:hAnsiTheme="majorHAnsi" w:cstheme="majorHAnsi"/>
          <w:szCs w:val="24"/>
        </w:rPr>
        <w:lastRenderedPageBreak/>
        <w:t>name exactly as recorded in each source database. A parallel rcd_form_canonical column was reserved for subsequent expert-governed unification of synonymous form names (e.g., "Entotic-cell-death" to "Entosis").</w:t>
      </w:r>
    </w:p>
    <w:p w14:paraId="6901B11D" w14:textId="77777777" w:rsidR="00EC5F2D" w:rsidRPr="009B500E" w:rsidRDefault="00EC5F2D" w:rsidP="009B500E">
      <w:pPr>
        <w:spacing w:after="0" w:line="240" w:lineRule="auto"/>
        <w:rPr>
          <w:rFonts w:asciiTheme="majorHAnsi" w:hAnsiTheme="majorHAnsi" w:cstheme="majorHAnsi"/>
          <w:szCs w:val="24"/>
        </w:rPr>
      </w:pPr>
    </w:p>
    <w:p w14:paraId="00F4867F" w14:textId="77777777" w:rsidR="00925876" w:rsidRPr="009B500E" w:rsidRDefault="00921C18" w:rsidP="009B500E">
      <w:pPr>
        <w:spacing w:after="0" w:line="240" w:lineRule="auto"/>
        <w:rPr>
          <w:rFonts w:asciiTheme="majorHAnsi" w:hAnsiTheme="majorHAnsi" w:cstheme="majorHAnsi"/>
          <w:szCs w:val="24"/>
        </w:rPr>
      </w:pPr>
      <w:r>
        <w:t>Each gene-RCD association was annotated with an evidence_quality classification reflecting the nature of the source evidence. Associations derived from manually curated databases (FerrDB,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Rows with curated-only or mixed curated+keyword evidence were retained (n = 18,991). Subsequent database integrations through the external audit (Reactome pathway-specific gene sets, WikiPathways, and XDeathDB, all classified as curated) and the Elicit Phase 3 systematic review (classified as ai_extracted) expanded the matrix to the final 22,473 rows.</w:t>
      </w:r>
    </w:p>
    <w:p w14:paraId="3FD86B43" w14:textId="77777777" w:rsidR="00EC5F2D" w:rsidRPr="009B500E" w:rsidRDefault="00EC5F2D" w:rsidP="009B500E">
      <w:pPr>
        <w:spacing w:after="0" w:line="240" w:lineRule="auto"/>
        <w:rPr>
          <w:rFonts w:asciiTheme="majorHAnsi" w:hAnsiTheme="majorHAnsi" w:cstheme="majorHAnsi"/>
          <w:szCs w:val="24"/>
        </w:rPr>
      </w:pPr>
    </w:p>
    <w:p w14:paraId="6C97BADC" w14:textId="77777777" w:rsidR="00925876" w:rsidRPr="009B500E" w:rsidRDefault="00921C18" w:rsidP="009B500E">
      <w:pPr>
        <w:spacing w:after="0" w:line="240" w:lineRule="auto"/>
        <w:rPr>
          <w:rFonts w:asciiTheme="majorHAnsi" w:hAnsiTheme="majorHAnsi" w:cstheme="majorHAnsi"/>
          <w:szCs w:val="24"/>
        </w:rPr>
      </w:pPr>
      <w:r>
        <w:t xml:space="preserve">Additionally, all gene symbols in the merged matrix were validated against the HGNC complete approved symbol set (n = 45,030; </w:t>
      </w:r>
      <w:hyperlink r:id="rId38">
        <w:r>
          <w:rPr>
            <w:rStyle w:val="Hyperlink"/>
          </w:rPr>
          <w:t>https://rest.genenames.org</w:t>
        </w:r>
      </w:hyperlink>
      <w:r>
        <w:t>; PMID 36243972).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gene_symbol_status column of the raw matrix and documented in the extraction audit log.</w:t>
      </w:r>
    </w:p>
    <w:p w14:paraId="13E88734" w14:textId="77777777" w:rsidR="00EC5F2D" w:rsidRPr="009B500E" w:rsidRDefault="00EC5F2D" w:rsidP="009B500E">
      <w:pPr>
        <w:spacing w:after="0" w:line="240" w:lineRule="auto"/>
        <w:rPr>
          <w:rFonts w:asciiTheme="majorHAnsi" w:hAnsiTheme="majorHAnsi" w:cstheme="majorHAnsi"/>
          <w:szCs w:val="24"/>
        </w:rPr>
      </w:pPr>
    </w:p>
    <w:p w14:paraId="5A97A457" w14:textId="77777777" w:rsidR="005E2A6F"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Pr>
          <w:rFonts w:asciiTheme="majorHAnsi" w:hAnsiTheme="majorHAnsi" w:cstheme="majorHAnsi"/>
          <w:szCs w:val="24"/>
        </w:rPr>
        <w:t xml:space="preserve"> </w:t>
      </w:r>
      <w:r w:rsidR="004C0F76" w:rsidRPr="004C0F76">
        <w:rPr>
          <w:rFonts w:asciiTheme="majorHAnsi" w:hAnsiTheme="majorHAnsi" w:cstheme="majorHAnsi"/>
          <w:szCs w:val="24"/>
          <w:highlight w:val="green"/>
        </w:rPr>
        <w:t>(Dataset S1)</w:t>
      </w:r>
      <w:r w:rsidRPr="009B500E">
        <w:rPr>
          <w:rFonts w:asciiTheme="majorHAnsi" w:hAnsiTheme="majorHAnsi" w:cstheme="majorHAnsi"/>
          <w:szCs w:val="24"/>
        </w:rPr>
        <w:t xml:space="preserve">. </w:t>
      </w:r>
    </w:p>
    <w:p w14:paraId="06887E44" w14:textId="77777777" w:rsidR="00EC5F2D" w:rsidRPr="009B500E" w:rsidRDefault="00EC5F2D" w:rsidP="009B500E">
      <w:pPr>
        <w:spacing w:after="0" w:line="240" w:lineRule="auto"/>
        <w:rPr>
          <w:rFonts w:asciiTheme="majorHAnsi" w:hAnsiTheme="majorHAnsi" w:cstheme="majorHAnsi"/>
          <w:b/>
          <w:bCs/>
          <w:szCs w:val="24"/>
        </w:rPr>
      </w:pPr>
    </w:p>
    <w:p w14:paraId="3D60B651"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b/>
          <w:bCs/>
          <w:color w:val="auto"/>
          <w:szCs w:val="24"/>
        </w:rPr>
        <w:t>RCD Form Name Normalization</w:t>
      </w:r>
    </w:p>
    <w:p w14:paraId="423F236F" w14:textId="77777777" w:rsidR="00925876" w:rsidRPr="00A30E1D" w:rsidRDefault="00921C18" w:rsidP="009B500E">
      <w:pPr>
        <w:spacing w:after="0" w:line="240" w:lineRule="auto"/>
        <w:rPr>
          <w:rFonts w:asciiTheme="majorHAnsi" w:hAnsiTheme="majorHAnsi" w:cstheme="majorHAnsi"/>
          <w:b/>
          <w:bCs/>
          <w:color w:val="auto"/>
          <w:szCs w:val="24"/>
        </w:rPr>
      </w:pPr>
      <w:r w:rsidRPr="00A30E1D">
        <w:rPr>
          <w:rFonts w:asciiTheme="majorHAnsi" w:hAnsiTheme="majorHAnsi" w:cstheme="majorHAnsi"/>
          <w:b/>
          <w:bCs/>
          <w:color w:val="auto"/>
          <w:szCs w:val="24"/>
        </w:rPr>
        <w:t>Phase 2 and 3: Expansion, External Audit, and Governance</w:t>
      </w:r>
    </w:p>
    <w:p w14:paraId="0B3F2348" w14:textId="77777777" w:rsidR="00EA778E"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An external audit subsequently integrated three additional databases (Reactome pathway-specific gene sets, WikiPathways, and XDeathDB), bringing the final count to 53 RCD-related entities (Supplementary Table S3). </w:t>
      </w:r>
    </w:p>
    <w:p w14:paraId="10393F5A" w14:textId="77777777" w:rsidR="00EA778E" w:rsidRPr="00A30E1D" w:rsidRDefault="00EA778E" w:rsidP="009B500E">
      <w:pPr>
        <w:spacing w:after="0" w:line="240" w:lineRule="auto"/>
        <w:rPr>
          <w:rFonts w:asciiTheme="majorHAnsi" w:hAnsiTheme="majorHAnsi" w:cstheme="majorHAnsi"/>
          <w:color w:val="auto"/>
          <w:szCs w:val="24"/>
        </w:rPr>
      </w:pPr>
    </w:p>
    <w:p w14:paraId="7F400A07"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Three proposals were formally excluded on fundamental grounds:</w:t>
      </w:r>
    </w:p>
    <w:p w14:paraId="56CDA06F" w14:textId="77777777" w:rsidR="00EA778E" w:rsidRPr="00A30E1D" w:rsidRDefault="00EA778E" w:rsidP="009B500E">
      <w:pPr>
        <w:spacing w:after="0" w:line="240" w:lineRule="auto"/>
        <w:rPr>
          <w:rFonts w:asciiTheme="majorHAnsi" w:hAnsiTheme="majorHAnsi" w:cstheme="majorHAnsi"/>
          <w:color w:val="auto"/>
          <w:szCs w:val="24"/>
        </w:rPr>
      </w:pPr>
    </w:p>
    <w:p w14:paraId="29909FC3"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1. </w:t>
      </w:r>
      <w:r w:rsidR="00921C18" w:rsidRPr="00A30E1D">
        <w:rPr>
          <w:rFonts w:asciiTheme="majorHAnsi" w:hAnsiTheme="majorHAnsi" w:cstheme="majorHAnsi"/>
          <w:color w:val="auto"/>
          <w:szCs w:val="24"/>
        </w:rPr>
        <w:t xml:space="preserve">Cobaltosis: This term describes systemic cobalt toxicity (cobaltism) from metal-on-metal hip implants, not a genetically encoded cell death program. The cellular damage is a consequence of heavy metal poisoning, not a regulated entity with distinct molecular </w:t>
      </w:r>
      <w:r w:rsidR="00921C18" w:rsidRPr="00A30E1D">
        <w:rPr>
          <w:rFonts w:asciiTheme="majorHAnsi" w:hAnsiTheme="majorHAnsi" w:cstheme="majorHAnsi"/>
          <w:color w:val="auto"/>
          <w:szCs w:val="24"/>
        </w:rPr>
        <w:lastRenderedPageBreak/>
        <w:t>machinery. No unique trigger, executioner, or inhibitor distinguishes it from general metal toxicity.</w:t>
      </w:r>
    </w:p>
    <w:p w14:paraId="2C4DC2B9" w14:textId="77777777" w:rsidR="00EA778E" w:rsidRPr="00A30E1D" w:rsidRDefault="00EA778E" w:rsidP="009B500E">
      <w:pPr>
        <w:spacing w:after="0" w:line="240" w:lineRule="auto"/>
        <w:rPr>
          <w:rFonts w:asciiTheme="majorHAnsi" w:hAnsiTheme="majorHAnsi" w:cstheme="majorHAnsi"/>
          <w:color w:val="auto"/>
          <w:szCs w:val="24"/>
        </w:rPr>
      </w:pPr>
    </w:p>
    <w:p w14:paraId="3E34069A"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2. </w:t>
      </w:r>
      <w:r w:rsidR="00921C18" w:rsidRPr="00A30E1D">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6CEE2227" w14:textId="77777777" w:rsidR="00EA778E" w:rsidRPr="00A30E1D" w:rsidRDefault="00EA778E" w:rsidP="009B500E">
      <w:pPr>
        <w:spacing w:after="0" w:line="240" w:lineRule="auto"/>
        <w:rPr>
          <w:rFonts w:asciiTheme="majorHAnsi" w:hAnsiTheme="majorHAnsi" w:cstheme="majorHAnsi"/>
          <w:color w:val="auto"/>
          <w:szCs w:val="24"/>
        </w:rPr>
      </w:pPr>
    </w:p>
    <w:p w14:paraId="06A114B4"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3. </w:t>
      </w:r>
      <w:r w:rsidR="00921C18" w:rsidRPr="00A30E1D">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6CA3EB78"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The exclusion of cobaltosis, calcioptosis, and corneoptosis is documented here to establish a precedent: not every "-ptosis" or "-osis" term proposed in the literature qualifies as a distinct regulated cell death form. The five-criteria framework serves as the gatekeeper.</w:t>
      </w:r>
    </w:p>
    <w:p w14:paraId="678D4FA1" w14:textId="77777777" w:rsidR="0022059B" w:rsidRPr="00FC261A" w:rsidRDefault="0022059B" w:rsidP="009B500E">
      <w:pPr>
        <w:spacing w:after="0" w:line="240" w:lineRule="auto"/>
        <w:rPr>
          <w:rFonts w:asciiTheme="majorHAnsi" w:hAnsiTheme="majorHAnsi" w:cstheme="majorHAnsi"/>
          <w:color w:val="EE0000"/>
          <w:szCs w:val="24"/>
        </w:rPr>
      </w:pPr>
    </w:p>
    <w:p w14:paraId="3334C93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(rcd_form) is preserved in every row; the normalized name (rcd_form_canonical)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11 synonym renames are listed in Supplementary Table S5.</w:t>
      </w:r>
    </w:p>
    <w:p w14:paraId="0B179115" w14:textId="77777777" w:rsidR="00EA778E" w:rsidRPr="009B500E" w:rsidRDefault="00EA778E" w:rsidP="009B500E">
      <w:pPr>
        <w:spacing w:after="0" w:line="240" w:lineRule="auto"/>
        <w:rPr>
          <w:rFonts w:asciiTheme="majorHAnsi" w:hAnsiTheme="majorHAnsi" w:cstheme="majorHAnsi"/>
          <w:szCs w:val="24"/>
        </w:rPr>
      </w:pPr>
    </w:p>
    <w:p w14:paraId="2225872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Normalization mapping (11 renames to produce 53 RCD-related entities, all with gene-level evidence):</w:t>
      </w:r>
    </w:p>
    <w:p w14:paraId="14BEC9AC" w14:textId="77777777" w:rsidR="00925876" w:rsidRPr="009B500E" w:rsidRDefault="00925876" w:rsidP="009B500E">
      <w:pPr>
        <w:spacing w:after="0" w:line="240" w:lineRule="auto"/>
        <w:rPr>
          <w:rFonts w:asciiTheme="majorHAnsi" w:hAnsiTheme="majorHAnsi" w:cstheme="majorHAnsi"/>
          <w:szCs w:val="24"/>
        </w:rPr>
      </w:pPr>
    </w:p>
    <w:p w14:paraId="764B918A"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RCD Form Vocabulary Consolidation</w:t>
      </w:r>
    </w:p>
    <w:p w14:paraId="4C1B54F7"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final RCD form vocabulary consolidates 62 original name strings from 20 independent resources into 53 RCD-related entities through 11 synonym merges. All 53 RCD-related entities carry gene-level evidence in the unified matrix (Supplementary Table S3). The full expansion and normalization methodology is documented in the Methods (Normalization mapping) and Supplementary Table S3. The newly admitted RCD-related entities are listed in Supplementary Table S6.</w:t>
      </w:r>
    </w:p>
    <w:p w14:paraId="4F976F0E" w14:textId="77777777" w:rsidR="00EA778E" w:rsidRPr="009B500E" w:rsidRDefault="00EA778E" w:rsidP="009B500E">
      <w:pPr>
        <w:spacing w:after="0" w:line="240" w:lineRule="auto"/>
        <w:rPr>
          <w:rFonts w:asciiTheme="majorHAnsi" w:hAnsiTheme="majorHAnsi" w:cstheme="majorHAnsi"/>
          <w:b/>
          <w:bCs/>
          <w:szCs w:val="24"/>
        </w:rPr>
      </w:pPr>
    </w:p>
    <w:p w14:paraId="7F8C586E"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Summary of RCD Form Count Evolution</w:t>
      </w:r>
    </w:p>
    <w:p w14:paraId="462966D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3D5A9806" w14:textId="77777777" w:rsidR="00EA778E" w:rsidRPr="009B500E" w:rsidRDefault="00EA778E" w:rsidP="009B500E">
      <w:pPr>
        <w:spacing w:after="0" w:line="240" w:lineRule="auto"/>
        <w:rPr>
          <w:rFonts w:asciiTheme="majorHAnsi" w:hAnsiTheme="majorHAnsi" w:cstheme="majorHAnsi"/>
          <w:b/>
          <w:bCs/>
          <w:szCs w:val="24"/>
        </w:rPr>
      </w:pPr>
    </w:p>
    <w:p w14:paraId="5787032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lastRenderedPageBreak/>
        <w:t>Phase 2: Automated Gene-RCD Association Validation</w:t>
      </w:r>
    </w:p>
    <w:p w14:paraId="7191F637" w14:textId="77777777" w:rsidR="00CA1683" w:rsidRDefault="00000000">
      <w:r>
        <w:rPr>
          <w:b/>
        </w:rPr>
        <w:t>Phase 2A: Two-Call Independent Validation</w:t>
      </w:r>
    </w:p>
    <w:p w14:paraId="079F9B8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independently validate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w:t>
      </w:r>
    </w:p>
    <w:p w14:paraId="111DAA10" w14:textId="77777777" w:rsidR="00EA778E" w:rsidRPr="009B500E" w:rsidRDefault="00EA778E" w:rsidP="009B500E">
      <w:pPr>
        <w:spacing w:after="0" w:line="240" w:lineRule="auto"/>
        <w:rPr>
          <w:rFonts w:asciiTheme="majorHAnsi" w:hAnsiTheme="majorHAnsi" w:cstheme="majorHAnsi"/>
          <w:b/>
          <w:bCs/>
          <w:szCs w:val="24"/>
        </w:rPr>
      </w:pPr>
    </w:p>
    <w:p w14:paraId="3A11E781"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Two distinct validations are performed and never conflated: (i) </w:t>
      </w:r>
      <w:r w:rsidR="00705A6F">
        <w:rPr>
          <w:rFonts w:asciiTheme="majorHAnsi" w:hAnsiTheme="majorHAnsi" w:cstheme="majorHAnsi"/>
          <w:szCs w:val="24"/>
        </w:rPr>
        <w:t>gene-RCD</w:t>
      </w:r>
      <w:r w:rsidRPr="009B500E">
        <w:rPr>
          <w:rFonts w:asciiTheme="majorHAnsi" w:hAnsiTheme="majorHAnsi" w:cstheme="majorHAnsi"/>
          <w:szCs w:val="24"/>
        </w:rPr>
        <w:t xml:space="preserve"> association validation — whether a gene and an RCD entity are genuinely linked in the published record — which is automated and scalable across the three independent channels; and (ii) RCD modality status validation — whether an entity constitutes a bona fide human cell-death modality — which is an ontological judgment performed by human curation, not by the automated channels.</w:t>
      </w:r>
    </w:p>
    <w:p w14:paraId="5BEB0279" w14:textId="77777777" w:rsidR="009B500E" w:rsidRDefault="009B500E" w:rsidP="009B500E">
      <w:pPr>
        <w:spacing w:after="0" w:line="240" w:lineRule="auto"/>
        <w:rPr>
          <w:rFonts w:asciiTheme="majorHAnsi" w:hAnsiTheme="majorHAnsi" w:cstheme="majorHAnsi"/>
          <w:b/>
          <w:bCs/>
          <w:szCs w:val="24"/>
        </w:rPr>
      </w:pPr>
    </w:p>
    <w:p w14:paraId="61CAC82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Two-Call Independent Validation Architecture</w:t>
      </w:r>
    </w:p>
    <w:p w14:paraId="3B6D651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pipeline executes two completely independent LLM calls per gene-RCD pair, with no cross-contamination between them:</w:t>
      </w:r>
    </w:p>
    <w:p w14:paraId="6ECC3D41" w14:textId="77777777" w:rsidR="00EA778E" w:rsidRPr="009B500E" w:rsidRDefault="00EA778E" w:rsidP="009B500E">
      <w:pPr>
        <w:spacing w:after="0" w:line="240" w:lineRule="auto"/>
        <w:rPr>
          <w:rFonts w:asciiTheme="majorHAnsi" w:hAnsiTheme="majorHAnsi" w:cstheme="majorHAnsi"/>
          <w:b/>
          <w:bCs/>
          <w:szCs w:val="24"/>
        </w:rPr>
      </w:pPr>
    </w:p>
    <w:p w14:paraId="2C56EA4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Call A (Internal Knowledge):</w:t>
      </w:r>
      <w:r w:rsidRPr="009B500E">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1D65EBBA" w14:textId="77777777" w:rsidR="00EA778E" w:rsidRPr="009B500E" w:rsidRDefault="00EA778E" w:rsidP="009B500E">
      <w:pPr>
        <w:spacing w:after="0" w:line="240" w:lineRule="auto"/>
        <w:rPr>
          <w:rFonts w:asciiTheme="majorHAnsi" w:hAnsiTheme="majorHAnsi" w:cstheme="majorHAnsi"/>
          <w:b/>
          <w:bCs/>
          <w:szCs w:val="24"/>
        </w:rPr>
      </w:pPr>
    </w:p>
    <w:p w14:paraId="6A10FACF"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Call B (PubMed Abstract Evidence)</w:t>
      </w:r>
      <w:r w:rsidRPr="009B500E">
        <w:rPr>
          <w:rFonts w:asciiTheme="majorHAnsi" w:hAnsiTheme="majorHAnsi" w:cstheme="majorHAnsi"/>
          <w:szCs w:val="24"/>
        </w:rPr>
        <w:t>: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2872D8E7" w14:textId="77777777" w:rsidR="00840E12" w:rsidRPr="009B500E" w:rsidRDefault="00840E12" w:rsidP="009B500E">
      <w:pPr>
        <w:spacing w:after="0" w:line="240" w:lineRule="auto"/>
        <w:rPr>
          <w:rFonts w:asciiTheme="majorHAnsi" w:hAnsiTheme="majorHAnsi" w:cstheme="majorHAnsi"/>
          <w:b/>
          <w:bCs/>
          <w:szCs w:val="24"/>
        </w:rPr>
      </w:pPr>
    </w:p>
    <w:p w14:paraId="58F7D981" w14:textId="77777777" w:rsid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DeepSeek Validation.</w:t>
      </w:r>
      <w:r w:rsidRPr="009B500E">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to MECHANISTIC.</w:t>
      </w:r>
      <w:r w:rsidR="009B500E">
        <w:rPr>
          <w:rFonts w:asciiTheme="majorHAnsi" w:hAnsiTheme="majorHAnsi" w:cstheme="majorHAnsi"/>
          <w:szCs w:val="24"/>
        </w:rPr>
        <w:t xml:space="preserve"> </w:t>
      </w:r>
    </w:p>
    <w:p w14:paraId="375FFD8F" w14:textId="77777777" w:rsidR="009B500E" w:rsidRDefault="009B500E" w:rsidP="009B500E">
      <w:pPr>
        <w:spacing w:after="0" w:line="240" w:lineRule="auto"/>
        <w:rPr>
          <w:rFonts w:asciiTheme="majorHAnsi" w:hAnsiTheme="majorHAnsi" w:cstheme="majorHAnsi"/>
          <w:szCs w:val="24"/>
        </w:rPr>
      </w:pPr>
    </w:p>
    <w:p w14:paraId="788F2CAA"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two calls are merged independently according to a predefined matrix: both CONFIRMED → CONFIRMED; Call A CONFIRMED + Call B UNCLEAR → NEEDS_LITERATURE (LLM knowledge exists but literature is lacking); Call A UNCLEAR + Call B CONFIRMED → NEEDS_CONTEXT (literature support exists but the LLM is uncertain); both UNCLEAR → UNCLEAR.</w:t>
      </w:r>
    </w:p>
    <w:p w14:paraId="27B16E2B" w14:textId="77777777" w:rsidR="00EA778E" w:rsidRPr="009B500E" w:rsidRDefault="00EA778E" w:rsidP="009B500E">
      <w:pPr>
        <w:spacing w:after="0" w:line="240" w:lineRule="auto"/>
        <w:rPr>
          <w:rFonts w:asciiTheme="majorHAnsi" w:hAnsiTheme="majorHAnsi" w:cstheme="majorHAnsi"/>
          <w:b/>
          <w:bCs/>
          <w:szCs w:val="24"/>
        </w:rPr>
      </w:pPr>
    </w:p>
    <w:p w14:paraId="5CDC3D90"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Evidence Tier Assignment</w:t>
      </w:r>
    </w:p>
    <w:p w14:paraId="0832A445"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Each gene-RCD pair receives a final evidence tier (T1-T4) based on a composite of multi-database consensus and LLM validation status:</w:t>
      </w:r>
    </w:p>
    <w:p w14:paraId="19D48E36" w14:textId="77777777" w:rsidR="00EA778E" w:rsidRPr="009B500E" w:rsidRDefault="00EA778E" w:rsidP="009B500E">
      <w:pPr>
        <w:spacing w:after="0" w:line="240" w:lineRule="auto"/>
        <w:rPr>
          <w:rFonts w:asciiTheme="majorHAnsi" w:hAnsiTheme="majorHAnsi" w:cstheme="majorHAnsi"/>
          <w:szCs w:val="24"/>
        </w:rPr>
      </w:pPr>
    </w:p>
    <w:p w14:paraId="0A60685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T1 (Gold Standard): Four or more independent database sources, or two or more sources with RCDdb-provided PMIDs.</w:t>
      </w:r>
    </w:p>
    <w:p w14:paraId="2F907AD9" w14:textId="77777777" w:rsidR="00EA778E" w:rsidRPr="009B500E" w:rsidRDefault="00EA778E" w:rsidP="009B500E">
      <w:pPr>
        <w:spacing w:after="0" w:line="240" w:lineRule="auto"/>
        <w:rPr>
          <w:rFonts w:asciiTheme="majorHAnsi" w:hAnsiTheme="majorHAnsi" w:cstheme="majorHAnsi"/>
          <w:szCs w:val="24"/>
        </w:rPr>
      </w:pPr>
    </w:p>
    <w:p w14:paraId="54C5A01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T2 (Strong Evidence): Three or more sources, or confirmed by both LLM calls.</w:t>
      </w:r>
    </w:p>
    <w:p w14:paraId="3C9C44BD" w14:textId="77777777" w:rsidR="00EA778E" w:rsidRPr="009B500E" w:rsidRDefault="00EA778E" w:rsidP="009B500E">
      <w:pPr>
        <w:spacing w:after="0" w:line="240" w:lineRule="auto"/>
        <w:rPr>
          <w:rFonts w:asciiTheme="majorHAnsi" w:hAnsiTheme="majorHAnsi" w:cstheme="majorHAnsi"/>
          <w:szCs w:val="24"/>
        </w:rPr>
      </w:pPr>
    </w:p>
    <w:p w14:paraId="5205D615"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T3 (Moderate Evidence): Two sources with LLM confirmation, or one source with LLM confirmation.</w:t>
      </w:r>
    </w:p>
    <w:p w14:paraId="44F2D226" w14:textId="77777777" w:rsidR="00EA778E" w:rsidRPr="009B500E" w:rsidRDefault="00EA778E" w:rsidP="009B500E">
      <w:pPr>
        <w:spacing w:after="0" w:line="240" w:lineRule="auto"/>
        <w:rPr>
          <w:rFonts w:asciiTheme="majorHAnsi" w:hAnsiTheme="majorHAnsi" w:cstheme="majorHAnsi"/>
          <w:szCs w:val="24"/>
        </w:rPr>
      </w:pPr>
    </w:p>
    <w:p w14:paraId="3274D29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T4 (Weak Evidence): Single source without LLM confirmation, or LLM unable to verify.</w:t>
      </w:r>
    </w:p>
    <w:p w14:paraId="46BF11EA" w14:textId="77777777" w:rsidR="00917D83" w:rsidRDefault="00917D83" w:rsidP="009B500E">
      <w:pPr>
        <w:spacing w:after="0" w:line="240" w:lineRule="auto"/>
        <w:rPr>
          <w:rFonts w:asciiTheme="majorHAnsi" w:hAnsiTheme="majorHAnsi" w:cstheme="majorHAnsi"/>
          <w:color w:val="EE0000"/>
          <w:szCs w:val="24"/>
        </w:rPr>
      </w:pPr>
    </w:p>
    <w:p w14:paraId="2B1F26E9" w14:textId="77777777" w:rsidR="00925876" w:rsidRPr="00FC261A" w:rsidRDefault="00921C18" w:rsidP="009B500E">
      <w:pPr>
        <w:spacing w:after="0" w:line="240" w:lineRule="auto"/>
        <w:rPr>
          <w:rFonts w:asciiTheme="majorHAnsi" w:hAnsiTheme="majorHAnsi" w:cstheme="majorHAnsi"/>
          <w:color w:val="EE0000"/>
          <w:szCs w:val="24"/>
        </w:rPr>
      </w:pPr>
      <w:r w:rsidRPr="00FC261A">
        <w:rPr>
          <w:rFonts w:asciiTheme="majorHAnsi" w:hAnsiTheme="majorHAnsi" w:cstheme="majorHAnsi"/>
          <w:color w:val="EE0000"/>
          <w:szCs w:val="24"/>
        </w:rPr>
        <w:t>Separately, a confidence score was computed as a weighted sum of the compilation channels (Channel D = 4, Channel B = 3, Channel A = 1, Channel C = 1) and recorded as an independent confidence tier (T1 = 7–10, T2 = 4–6, T3 = 2–3, T4 = 1). This confidence tier is a metric distinct from the evidence tier (T1–T4) defined above and must not be conflated with it.</w:t>
      </w:r>
      <w:r w:rsidR="00491367" w:rsidRPr="00FC261A">
        <w:rPr>
          <w:rFonts w:asciiTheme="majorHAnsi" w:hAnsiTheme="majorHAnsi" w:cstheme="majorHAnsi"/>
          <w:color w:val="EE0000"/>
          <w:szCs w:val="24"/>
        </w:rPr>
      </w:r>
      <w:r w:rsidRPr="00FC261A">
        <w:rPr>
          <w:rFonts w:asciiTheme="majorHAnsi" w:hAnsiTheme="majorHAnsi" w:cstheme="majorHAnsi"/>
          <w:color w:val="EE0000"/>
          <w:szCs w:val="24"/>
        </w:rPr>
      </w:r>
    </w:p>
    <w:p w14:paraId="65247782" w14:textId="77777777" w:rsidR="00EA778E" w:rsidRPr="009B500E" w:rsidRDefault="00EA778E" w:rsidP="009B500E">
      <w:pPr>
        <w:spacing w:after="0" w:line="240" w:lineRule="auto"/>
        <w:rPr>
          <w:rFonts w:asciiTheme="majorHAnsi" w:hAnsiTheme="majorHAnsi" w:cstheme="majorHAnsi"/>
          <w:szCs w:val="24"/>
        </w:rPr>
      </w:pPr>
    </w:p>
    <w:p w14:paraId="43099F4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Anti-Block and Rate-Limiting Strategy</w:t>
      </w:r>
    </w:p>
    <w:p w14:paraId="6330339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intermediate progress is stored in a separate JSON checkpoint file (llm_verification_progress.json), ensuring that the matrix remains uncorrupted if the pipeline is interrupted.</w:t>
      </w:r>
      <w:r>
        <w:t xml:space="preserve"> The validation pipeline is implemented as channel_c_evidence_tier.py in the extraction code repository. All LLM API keys are stored in environment variables (.env file), never hardcoded.</w:t>
      </w:r>
    </w:p>
    <w:p w14:paraId="4B382F07" w14:textId="77777777" w:rsidR="00EA778E" w:rsidRPr="009B500E" w:rsidRDefault="00EA778E" w:rsidP="009B500E">
      <w:pPr>
        <w:spacing w:after="0" w:line="240" w:lineRule="auto"/>
        <w:rPr>
          <w:rFonts w:asciiTheme="majorHAnsi" w:hAnsiTheme="majorHAnsi" w:cstheme="majorHAnsi"/>
          <w:szCs w:val="24"/>
        </w:rPr>
      </w:pPr>
    </w:p>
    <w:p w14:paraId="4570ED18"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Independent Accuracy Assessment</w:t>
      </w:r>
    </w:p>
    <w:p w14:paraId="18448B7C"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18A7DEC1" w14:textId="77777777" w:rsidR="004A5E2F" w:rsidRDefault="004A5E2F" w:rsidP="009B500E">
      <w:pPr>
        <w:spacing w:after="0" w:line="240" w:lineRule="auto"/>
        <w:rPr>
          <w:rFonts w:asciiTheme="majorHAnsi" w:hAnsiTheme="majorHAnsi" w:cstheme="majorHAnsi"/>
          <w:szCs w:val="24"/>
        </w:rPr>
      </w:pPr>
    </w:p>
    <w:p w14:paraId="7B194942"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is documented in the extraction audit log and is reproducible via the --validate flag.</w:t>
      </w:r>
      <w:r>
        <w:t xml:space="preserve"> The Phase 2A/D validation output columns are described in Supplementary Table S7.</w:t>
      </w:r>
    </w:p>
    <w:p w14:paraId="141C5D31" w14:textId="77777777" w:rsidR="00EA778E" w:rsidRPr="004E36FF" w:rsidRDefault="00EA778E" w:rsidP="009B500E">
      <w:pPr>
        <w:spacing w:after="0" w:line="240" w:lineRule="auto"/>
        <w:rPr>
          <w:rFonts w:asciiTheme="majorHAnsi" w:hAnsiTheme="majorHAnsi" w:cstheme="majorHAnsi"/>
          <w:color w:val="EE0000"/>
          <w:szCs w:val="24"/>
        </w:rPr>
      </w:pPr>
    </w:p>
    <w:p w14:paraId="1F2FF027" w14:textId="77777777" w:rsidR="00925876" w:rsidRPr="009B500E" w:rsidRDefault="00921C18" w:rsidP="009B500E">
      <w:pPr>
        <w:spacing w:after="0" w:line="240" w:lineRule="auto"/>
        <w:rPr>
          <w:rFonts w:asciiTheme="majorHAnsi" w:hAnsiTheme="majorHAnsi" w:cstheme="majorHAnsi"/>
          <w:szCs w:val="24"/>
        </w:rPr>
      </w:pPr>
      <w:r w:rsidRPr="00CE378B">
        <w:rPr>
          <w:rFonts w:asciiTheme="majorHAnsi" w:hAnsiTheme="majorHAnsi" w:cstheme="majorHAnsi"/>
          <w:b/>
          <w:bCs/>
          <w:szCs w:val="24"/>
        </w:rPr>
        <w:t>Phase 2A/D MSigDB extension.</w:t>
      </w:r>
      <w:r w:rsidRPr="009B500E">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 </w:t>
      </w:r>
      <w:r w:rsidRPr="009B500E">
        <w:rPr>
          <w:rFonts w:asciiTheme="majorHAnsi" w:hAnsiTheme="majorHAnsi" w:cstheme="majorHAnsi"/>
          <w:szCs w:val="24"/>
        </w:rPr>
        <w:lastRenderedPageBreak/>
        <w:t>mechanistic (yes/no), role (executor/regulator/marker/uncertain), and direction (promotes/protects) —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parent name.</w:t>
      </w:r>
    </w:p>
    <w:p w14:paraId="0D1CC95C" w14:textId="77777777" w:rsidR="00EA778E" w:rsidRPr="009B500E" w:rsidRDefault="00EA778E" w:rsidP="009B500E">
      <w:pPr>
        <w:spacing w:after="0" w:line="240" w:lineRule="auto"/>
        <w:rPr>
          <w:rFonts w:asciiTheme="majorHAnsi" w:hAnsiTheme="majorHAnsi" w:cstheme="majorHAnsi"/>
          <w:szCs w:val="24"/>
        </w:rPr>
      </w:pPr>
    </w:p>
    <w:p w14:paraId="246582F3" w14:textId="77777777" w:rsidR="00925876" w:rsidRPr="009B500E" w:rsidRDefault="00985363" w:rsidP="009B500E">
      <w:pPr>
        <w:spacing w:after="0" w:line="240" w:lineRule="auto"/>
        <w:rPr>
          <w:rFonts w:asciiTheme="majorHAnsi" w:hAnsiTheme="majorHAnsi" w:cstheme="majorHAnsi"/>
          <w:b/>
          <w:bCs/>
          <w:szCs w:val="24"/>
        </w:rPr>
      </w:pPr>
      <w:r w:rsidRPr="009B500E">
        <w:rPr>
          <w:rFonts w:asciiTheme="majorHAnsi" w:hAnsiTheme="majorHAnsi" w:cstheme="majorHAnsi"/>
          <w:b/>
          <w:szCs w:val="24"/>
        </w:rPr>
        <w:t>Phase 2B: Europe PMC Full-Text XML Deep RAG Evidence Extraction</w:t>
      </w:r>
    </w:p>
    <w:p w14:paraId="655D646A"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(gene[Gene]) AND (rcd[Title/Abstract]) strategy. For each non-MECHANISTIC pair, the query ({gene}) AND ({rcd}) is executed against the full-text index, returning PMIDs, PMC IDs, and total hit counts.</w:t>
      </w:r>
    </w:p>
    <w:p w14:paraId="4AE222EE" w14:textId="77777777" w:rsidR="00570905" w:rsidRPr="009B500E" w:rsidRDefault="00570905" w:rsidP="009B500E">
      <w:pPr>
        <w:spacing w:after="0" w:line="240" w:lineRule="auto"/>
        <w:rPr>
          <w:rFonts w:asciiTheme="majorHAnsi" w:hAnsiTheme="majorHAnsi" w:cstheme="majorHAnsi"/>
          <w:szCs w:val="24"/>
        </w:rPr>
      </w:pPr>
    </w:p>
    <w:p w14:paraId="6062D7E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complements </w:t>
      </w:r>
      <w:r w:rsidRPr="00E54383">
        <w:rPr>
          <w:rFonts w:asciiTheme="majorHAnsi" w:hAnsiTheme="majorHAnsi" w:cstheme="majorHAnsi"/>
          <w:color w:val="EE0000"/>
          <w:szCs w:val="24"/>
        </w:rPr>
        <w:t xml:space="preserve">Phase 2A </w:t>
      </w:r>
      <w:r w:rsidRPr="009B500E">
        <w:rPr>
          <w:rFonts w:asciiTheme="majorHAnsi" w:hAnsiTheme="majorHAnsi" w:cstheme="majorHAnsi"/>
          <w:szCs w:val="24"/>
        </w:rPr>
        <w:t>(abstract-level validation) by capturing evidence buried in paper bodies that never appears in titles or abstracts.</w:t>
      </w:r>
    </w:p>
    <w:p w14:paraId="4B02ACA3" w14:textId="77777777" w:rsidR="00EA778E" w:rsidRPr="009B500E" w:rsidRDefault="00EA778E" w:rsidP="009B500E">
      <w:pPr>
        <w:spacing w:after="0" w:line="240" w:lineRule="auto"/>
        <w:rPr>
          <w:rFonts w:asciiTheme="majorHAnsi" w:hAnsiTheme="majorHAnsi" w:cstheme="majorHAnsi"/>
          <w:b/>
          <w:szCs w:val="24"/>
        </w:rPr>
      </w:pPr>
    </w:p>
    <w:p w14:paraId="40A5C7A0"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szCs w:val="24"/>
        </w:rPr>
        <w:t>Combined-Pass Per-Article Architecture</w:t>
      </w:r>
    </w:p>
    <w:p w14:paraId="32E819DF"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Each article </w:t>
      </w:r>
      <w:r w:rsidR="001D4FC0">
        <w:rPr>
          <w:rFonts w:asciiTheme="majorHAnsi" w:hAnsiTheme="majorHAnsi" w:cstheme="majorHAnsi"/>
          <w:szCs w:val="24"/>
        </w:rPr>
        <w:t>was</w:t>
      </w:r>
      <w:r w:rsidRPr="009B500E">
        <w:rPr>
          <w:rFonts w:asciiTheme="majorHAnsi" w:hAnsiTheme="majorHAnsi" w:cstheme="majorHAnsi"/>
          <w:szCs w:val="24"/>
        </w:rPr>
        <w:t xml:space="preserve"> processed through a single combined-pass LLM call per text chunk, which performs three tasks in one request:</w:t>
      </w:r>
    </w:p>
    <w:p w14:paraId="0D354433" w14:textId="77777777" w:rsidR="00EA778E" w:rsidRPr="009B500E" w:rsidRDefault="00EA778E" w:rsidP="009B500E">
      <w:pPr>
        <w:spacing w:after="0" w:line="240" w:lineRule="auto"/>
        <w:rPr>
          <w:rFonts w:asciiTheme="majorHAnsi" w:hAnsiTheme="majorHAnsi" w:cstheme="majorHAnsi"/>
          <w:szCs w:val="24"/>
        </w:rPr>
      </w:pPr>
    </w:p>
    <w:p w14:paraId="4F86173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1 —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663680A2" w14:textId="77777777" w:rsidR="00EA778E" w:rsidRPr="009B500E" w:rsidRDefault="00EA778E" w:rsidP="009B500E">
      <w:pPr>
        <w:spacing w:after="0" w:line="240" w:lineRule="auto"/>
        <w:rPr>
          <w:rFonts w:asciiTheme="majorHAnsi" w:hAnsiTheme="majorHAnsi" w:cstheme="majorHAnsi"/>
          <w:szCs w:val="24"/>
        </w:rPr>
      </w:pPr>
    </w:p>
    <w:p w14:paraId="53F1C242"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2 —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7CB63E08" w14:textId="77777777" w:rsidR="00EA778E" w:rsidRPr="009B500E" w:rsidRDefault="00EA778E" w:rsidP="009B500E">
      <w:pPr>
        <w:spacing w:after="0" w:line="240" w:lineRule="auto"/>
        <w:rPr>
          <w:rFonts w:asciiTheme="majorHAnsi" w:hAnsiTheme="majorHAnsi" w:cstheme="majorHAnsi"/>
          <w:szCs w:val="24"/>
        </w:rPr>
      </w:pPr>
    </w:p>
    <w:p w14:paraId="7676B3D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3 —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CONTEXT_DEPENDENT).</w:t>
      </w:r>
    </w:p>
    <w:p w14:paraId="42DF01F9" w14:textId="77777777" w:rsidR="00EA778E" w:rsidRPr="009B500E" w:rsidRDefault="00EA778E" w:rsidP="009B500E">
      <w:pPr>
        <w:spacing w:after="0" w:line="240" w:lineRule="auto"/>
        <w:rPr>
          <w:rFonts w:asciiTheme="majorHAnsi" w:hAnsiTheme="majorHAnsi" w:cstheme="majorHAnsi"/>
          <w:b/>
          <w:bCs/>
          <w:szCs w:val="24"/>
        </w:rPr>
      </w:pPr>
    </w:p>
    <w:p w14:paraId="005B7B76"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Hallucination Prevention and Governance</w:t>
      </w:r>
    </w:p>
    <w:p w14:paraId="509C14B7"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Pr>
          <w:rFonts w:asciiTheme="majorHAnsi" w:hAnsiTheme="majorHAnsi" w:cstheme="majorHAnsi"/>
          <w:szCs w:val="24"/>
        </w:rPr>
        <w:t xml:space="preserve"> </w:t>
      </w:r>
      <w:r w:rsidRPr="009B500E">
        <w:rPr>
          <w:rFonts w:asciiTheme="majorHAnsi" w:hAnsiTheme="majorHAnsi" w:cstheme="majorHAnsi"/>
          <w:szCs w:val="24"/>
        </w:rPr>
        <w:t xml:space="preserve">(verify_sentence()). Sentences not found in the source article are rejected with a logged HALLUCINATION_DETECTED flag and excluded from accumulation. Per-PDF hallucination </w:t>
      </w:r>
      <w:r w:rsidRPr="009B500E">
        <w:rPr>
          <w:rFonts w:asciiTheme="majorHAnsi" w:hAnsiTheme="majorHAnsi" w:cstheme="majorHAnsi"/>
          <w:szCs w:val="24"/>
        </w:rPr>
        <w:lastRenderedPageBreak/>
        <w:t>rates are monitored; rates exceeding 30% trigger a CRITICAL alert. A global hallucination counter and per-incident log provide full auditability.</w:t>
      </w:r>
    </w:p>
    <w:p w14:paraId="0ED388D3" w14:textId="77777777" w:rsidR="00EA778E" w:rsidRPr="009B500E" w:rsidRDefault="00EA778E" w:rsidP="009B500E">
      <w:pPr>
        <w:spacing w:after="0" w:line="240" w:lineRule="auto"/>
        <w:rPr>
          <w:rFonts w:asciiTheme="majorHAnsi" w:hAnsiTheme="majorHAnsi" w:cstheme="majorHAnsi"/>
          <w:b/>
          <w:bCs/>
          <w:szCs w:val="24"/>
        </w:rPr>
      </w:pPr>
    </w:p>
    <w:p w14:paraId="6434CE6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Multi-Paper Evidence Aggregation</w:t>
      </w:r>
    </w:p>
    <w:p w14:paraId="58E0529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CONTEXT_DEPENDENT and flagged for manual review. Confidence is calculated as HIGH (5 or more papers with consensus role), MEDIUM (2 or more papers or at least one DIRECT_EXPERIMENTAL), or LOW (single paper without direct experimental support). </w:t>
      </w:r>
      <w:r w:rsidR="004E36FF" w:rsidRPr="009B500E">
        <w:rPr>
          <w:rFonts w:asciiTheme="majorHAnsi" w:hAnsiTheme="majorHAnsi" w:cstheme="majorHAnsi"/>
          <w:szCs w:val="24"/>
        </w:rPr>
        <w:t>Evidence</w:t>
      </w:r>
      <w:r w:rsidRPr="009B500E">
        <w:rPr>
          <w:rFonts w:asciiTheme="majorHAnsi" w:hAnsiTheme="majorHAnsi" w:cstheme="majorHAnsi"/>
          <w:szCs w:val="24"/>
        </w:rPr>
        <w:t xml:space="preserve"> score (fraction of papers with DIRECT_EXPERIMENTAL evidence) provides a continuous quality metric.</w:t>
      </w:r>
    </w:p>
    <w:p w14:paraId="30CE2628" w14:textId="77777777" w:rsidR="00EA778E" w:rsidRPr="009B500E" w:rsidRDefault="00EA778E" w:rsidP="009B500E">
      <w:pPr>
        <w:spacing w:after="0" w:line="240" w:lineRule="auto"/>
        <w:rPr>
          <w:rFonts w:asciiTheme="majorHAnsi" w:hAnsiTheme="majorHAnsi" w:cstheme="majorHAnsi"/>
          <w:b/>
          <w:bCs/>
          <w:szCs w:val="24"/>
        </w:rPr>
      </w:pPr>
    </w:p>
    <w:p w14:paraId="6F9A8D31"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Independent Accuracy Assessment</w:t>
      </w:r>
    </w:p>
    <w:p w14:paraId="172787A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Before processing the full corpus, the pipeline executes a ground truth audit (--validate mode) on four landmark papers with definitively known gene-RCD associations: GPX4/Ferroptosis</w:t>
      </w:r>
      <w:r w:rsidR="00676F2A" w:rsidRPr="009B500E">
        <w:rPr>
          <w:rFonts w:asciiTheme="majorHAnsi" w:hAnsiTheme="majorHAnsi" w:cstheme="majorHAnsi"/>
          <w:szCs w:val="24"/>
        </w:rPr>
        <w:t xml:space="preserve"> </w:t>
      </w:r>
      <w:r w:rsidR="00676F2A" w:rsidRPr="009B500E">
        <w:rPr>
          <w:rFonts w:asciiTheme="majorHAnsi" w:hAnsiTheme="majorHAnsi" w:cstheme="majorHAnsi"/>
          <w:szCs w:val="24"/>
          <w:highlight w:val="yellow"/>
        </w:rPr>
        <w:t>{Yang, 2014 #784805}</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w:t>
      </w:r>
      <w:r w:rsidR="00676F2A" w:rsidRPr="009B500E">
        <w:rPr>
          <w:rFonts w:asciiTheme="majorHAnsi" w:hAnsiTheme="majorHAnsi" w:cstheme="majorHAnsi"/>
          <w:szCs w:val="24"/>
        </w:rPr>
        <w:t xml:space="preserve">MLKL/Necroptosis </w:t>
      </w:r>
      <w:r w:rsidR="00676F2A" w:rsidRPr="009B500E">
        <w:rPr>
          <w:rFonts w:asciiTheme="majorHAnsi" w:hAnsiTheme="majorHAnsi" w:cstheme="majorHAnsi"/>
          <w:szCs w:val="24"/>
          <w:highlight w:val="yellow"/>
        </w:rPr>
        <w:t>{Cai, 2014 #784806}</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GSDMD/Pyroptosis</w:t>
      </w:r>
      <w:r w:rsidR="00676F2A" w:rsidRPr="009B500E">
        <w:rPr>
          <w:rFonts w:asciiTheme="majorHAnsi" w:hAnsiTheme="majorHAnsi" w:cstheme="majorHAnsi"/>
          <w:szCs w:val="24"/>
        </w:rPr>
        <w:t xml:space="preserve"> {</w:t>
      </w:r>
      <w:r w:rsidR="00676F2A" w:rsidRPr="009B500E">
        <w:rPr>
          <w:rFonts w:asciiTheme="majorHAnsi" w:hAnsiTheme="majorHAnsi" w:cstheme="majorHAnsi"/>
          <w:szCs w:val="24"/>
          <w:highlight w:val="yellow"/>
        </w:rPr>
        <w:t>Sborgi, 2016 #784808}</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and </w:t>
      </w:r>
      <w:r w:rsidRPr="009B500E">
        <w:rPr>
          <w:rFonts w:asciiTheme="majorHAnsi" w:hAnsiTheme="majorHAnsi" w:cstheme="majorHAnsi"/>
          <w:szCs w:val="24"/>
          <w:highlight w:val="yellow"/>
        </w:rPr>
        <w:t>{Tsvetkov, 2022 #784069}</w:t>
      </w:r>
      <w:r w:rsidRPr="009B500E">
        <w:rPr>
          <w:rFonts w:asciiTheme="majorHAnsi" w:hAnsiTheme="majorHAnsi" w:cstheme="majorHAnsi"/>
          <w:szCs w:val="24"/>
        </w:rPr>
        <w:t xml:space="preserve"> (FDX1/Cuproptosis). The audit measures gene symbol recall, RCD form detection accuracy, role classification accuracy, sentence verifiability, and hallucination rate. It yielded 100% </w:t>
      </w:r>
      <w:r w:rsidRPr="00A30E1D">
        <w:rPr>
          <w:rFonts w:asciiTheme="majorHAnsi" w:hAnsiTheme="majorHAnsi" w:cstheme="majorHAnsi"/>
          <w:color w:val="auto"/>
          <w:szCs w:val="24"/>
        </w:rPr>
        <w:t>gene recall, 100% RCD form detection, and 100% role classification across the four papers, with 53 of the 54 extracted evidence sentences verified verbatim and the single non-verbatim sentence rejected by the anti-hallucination filter</w:t>
      </w:r>
      <w:r w:rsidRPr="009B500E">
        <w:rPr>
          <w:rFonts w:asciiTheme="majorHAnsi" w:hAnsiTheme="majorHAnsi" w:cstheme="majorHAnsi"/>
          <w:szCs w:val="24"/>
        </w:rPr>
        <w:t>.</w:t>
      </w:r>
    </w:p>
    <w:p w14:paraId="628B5559" w14:textId="77777777" w:rsidR="00EA778E" w:rsidRPr="009B500E" w:rsidRDefault="00EA778E" w:rsidP="009B500E">
      <w:pPr>
        <w:spacing w:after="0" w:line="240" w:lineRule="auto"/>
        <w:rPr>
          <w:rFonts w:asciiTheme="majorHAnsi" w:hAnsiTheme="majorHAnsi" w:cstheme="majorHAnsi"/>
          <w:b/>
          <w:bCs/>
          <w:szCs w:val="24"/>
        </w:rPr>
      </w:pPr>
    </w:p>
    <w:p w14:paraId="16562F12"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Output and Matrix Integration</w:t>
      </w:r>
    </w:p>
    <w:p w14:paraId="0358830F" w14:textId="77777777" w:rsidR="00685507" w:rsidRPr="009B500E" w:rsidRDefault="00685507"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2B full-text XML deep evidence extraction (channel_c_deep_xml_rag.py) processes all 21,309 gene-RCD pairs carrying at least one PMID. PMID-to-PMCID conversion yields open-access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(deep_pmids_total, deep_pmids_free, deep_pmids_skipped, deep_paper_count, deep_best_sentence, deep_best_evidence, deep_best_role, deep_best_direction, deep_confidence, deep_evidence_score). Three existing columns are upgraded where deep evidence confirms Phase 2A/D classifications: evidence_tier (T2 to T1 when deep_confidence=HIGH and role=EXECUTOR), rcd_gene_type (populated from deep_best_role for empty rows), and mechanistic_class (LITERATURE_GAP to MECHANISTIC when deep_confidence is HIGH or MEDIUM). Processing is resumable via checkpoint files (phase2b_checkpoint.json, phase2b_pair_results.json) and generates a governance report documenting every PMCID processed, every hallucination rejected, and the full evidence distribution.</w:t>
      </w:r>
    </w:p>
    <w:p w14:paraId="75A88ECB" w14:textId="77777777" w:rsidR="00EA778E" w:rsidRPr="009B500E" w:rsidRDefault="00EA778E" w:rsidP="009B500E">
      <w:pPr>
        <w:spacing w:after="0" w:line="240" w:lineRule="auto"/>
        <w:rPr>
          <w:rFonts w:asciiTheme="majorHAnsi" w:hAnsiTheme="majorHAnsi" w:cstheme="majorHAnsi"/>
          <w:szCs w:val="24"/>
        </w:rPr>
      </w:pPr>
    </w:p>
    <w:p w14:paraId="5E7AF25D"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 xml:space="preserve">Output and Traceability. </w:t>
      </w:r>
      <w:r w:rsidRPr="009B500E">
        <w:rPr>
          <w:rFonts w:asciiTheme="majorHAnsi" w:hAnsiTheme="majorHAnsi" w:cstheme="majorHAnsi"/>
          <w:szCs w:val="24"/>
        </w:rPr>
        <w:t>Phase 2C adds four new columns to the unified matrix without overwriting Phase 2A values. These columns capture MECHANISTIC classifications from full-</w:t>
      </w:r>
      <w:r w:rsidRPr="009B500E">
        <w:rPr>
          <w:rFonts w:asciiTheme="majorHAnsi" w:hAnsiTheme="majorHAnsi" w:cstheme="majorHAnsi"/>
          <w:szCs w:val="24"/>
        </w:rPr>
        <w:lastRenderedPageBreak/>
        <w:t>text Europe PMC recovery, in addition to the 3,063 MECHANISTIC pairs from Phase 2A/D abstract validation: epmc_hits (full-text hit count), epmc_status (Phase 2C LLM verdict), epmc_pmids (PMIDs recovered by Europe PMC), and phase2c_mechanistic_class (combined classification). Phase 2A columns (mechanistic_class, llm_status, llm_pmids) remain untouched, preserving full traceability of the validation provenance. The pipeline is implemented as channel_c_recovery_europe_pmc.py, runs autonomously with auto-restart on failure, and saves progress every 10 pairs.</w:t>
      </w:r>
    </w:p>
    <w:p w14:paraId="2DB0B3ED" w14:textId="77777777" w:rsidR="00EA778E" w:rsidRPr="009B500E" w:rsidRDefault="00EA778E" w:rsidP="009B500E">
      <w:pPr>
        <w:spacing w:after="0" w:line="240" w:lineRule="auto"/>
        <w:rPr>
          <w:rFonts w:asciiTheme="majorHAnsi" w:hAnsiTheme="majorHAnsi" w:cstheme="majorHAnsi"/>
          <w:szCs w:val="24"/>
        </w:rPr>
      </w:pPr>
    </w:p>
    <w:p w14:paraId="6EF3524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Phase 2D and 2E: Extended Literature Validation After External Audit</w:t>
      </w:r>
    </w:p>
    <w:p w14:paraId="07A85D11" w14:textId="77777777" w:rsidR="00925876" w:rsidRPr="009B500E" w:rsidRDefault="00921C18" w:rsidP="009B500E">
      <w:pPr>
        <w:spacing w:after="0" w:line="240" w:lineRule="auto"/>
        <w:rPr>
          <w:rFonts w:asciiTheme="majorHAnsi" w:hAnsiTheme="majorHAnsi" w:cstheme="majorHAnsi"/>
          <w:szCs w:val="24"/>
        </w:rPr>
      </w:pPr>
      <w:r>
        <w:t>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w:t>
      </w:r>
      <w:hyperlink r:id="rId39">
        <w:r>
          <w:rPr>
            <w:rStyle w:val="Hyperlink"/>
          </w:rPr>
          <w:t>https://pcm2019.shinyapps.io/XDeathDB</w:t>
        </w:r>
      </w:hyperlink>
      <w:r>
        <w:t>; PMID 34907160) was cited in Material and Methods but had not yet been integrated at that stage. These gaps were closed by extracting 378 Reactome genes (3 pathways), 286 WikiPathways genes (4 pathways), and 5,487 XDeathDB genes (12 RCD forms) through manual CSV download from the Shiny application. The audit also identified that the gene_type column conflated cancer gene roles (driver/suppressor from multi-optosis) with RCD functional roles (EXECUTOR/REGULATOR from Elicit Phase 3), leading to a column split into cancer_gene_type and rcd_gene_type. Phase 2D (NCBI+DeepSeek) validated the resulting 1,341 novel unique pairs, and Phase 2E (Europe PMC+DeepSeek) performed full-text recovery on the remaining 1,724 non-MECHANISTIC pairs, recovering 588 MECHANISTIC associations through Europe PMC full-text validation.</w:t>
      </w:r>
    </w:p>
    <w:p w14:paraId="6106FE9C" w14:textId="77777777" w:rsidR="00871F46" w:rsidRPr="009B500E" w:rsidRDefault="00871F46" w:rsidP="009B500E">
      <w:pPr>
        <w:spacing w:after="0" w:line="240" w:lineRule="auto"/>
        <w:rPr>
          <w:rFonts w:asciiTheme="majorHAnsi" w:hAnsiTheme="majorHAnsi" w:cstheme="majorHAnsi"/>
          <w:szCs w:val="24"/>
        </w:rPr>
      </w:pPr>
    </w:p>
    <w:p w14:paraId="646291AB"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2F: Chain-of-Thought Full-Matrix Classification</w:t>
      </w:r>
    </w:p>
    <w:p w14:paraId="347B35A6"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full run classified all 21,566 unique (gene, RCD-related entity) pairs using the deepseek-v4-pro model with thinking enabled and reasoning effort set to maximum. The two late-added MSigDB pairs (NLRX1 and PPIF, MPT-driven necrosis) were classified separately in the Phase 2A/D mini-run, yielding the final 21,568 unique pairs.</w:t>
      </w:r>
    </w:p>
    <w:p w14:paraId="75C5E3B0" w14:textId="77777777" w:rsidR="00871F46" w:rsidRPr="009B500E" w:rsidRDefault="00871F46" w:rsidP="009B500E">
      <w:pPr>
        <w:spacing w:after="0" w:line="240" w:lineRule="auto"/>
        <w:rPr>
          <w:rFonts w:asciiTheme="majorHAnsi" w:hAnsiTheme="majorHAnsi" w:cstheme="majorHAnsi"/>
          <w:szCs w:val="24"/>
        </w:rPr>
      </w:pPr>
    </w:p>
    <w:p w14:paraId="43BCD498"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Four new columns were added to the unified matrix without overwriting any Phase 2A–2E values: cot_role, cot_direction, cot_mechanistic, and cot_evidence (the concatenated verdict). Processing was resumable via a checkpoint file saved every ten pairs, with an off-peak supervisor for autonomous restart.</w:t>
      </w:r>
    </w:p>
    <w:p w14:paraId="3E349639" w14:textId="77777777" w:rsidR="00871F46" w:rsidRPr="009B500E" w:rsidRDefault="00871F46" w:rsidP="009B500E">
      <w:pPr>
        <w:spacing w:after="0" w:line="240" w:lineRule="auto"/>
        <w:rPr>
          <w:rFonts w:asciiTheme="majorHAnsi" w:hAnsiTheme="majorHAnsi" w:cstheme="majorHAnsi"/>
          <w:szCs w:val="24"/>
        </w:rPr>
      </w:pPr>
    </w:p>
    <w:p w14:paraId="0273DBBB"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Post-hoc reconciliation repaired 84 self-inconsistent rows (mechanistic NO with a confident role or direction), and 231 rows with genuine role/direction uncertainty — 178 regulators with unclear direction and 53 mechanistically-involved pairs with unresolved role — were retained as honest uncertainty rather than forced into a confident category. Two </w:t>
      </w:r>
      <w:r w:rsidR="00705A6F">
        <w:rPr>
          <w:rFonts w:asciiTheme="majorHAnsi" w:hAnsiTheme="majorHAnsi" w:cstheme="majorHAnsi"/>
          <w:szCs w:val="24"/>
        </w:rPr>
        <w:t>gene-RCD</w:t>
      </w:r>
      <w:r w:rsidRPr="009B500E">
        <w:rPr>
          <w:rFonts w:asciiTheme="majorHAnsi" w:hAnsiTheme="majorHAnsi" w:cstheme="majorHAnsi"/>
          <w:szCs w:val="24"/>
        </w:rPr>
        <w:t xml:space="preserve"> </w:t>
      </w:r>
      <w:r w:rsidRPr="009B500E">
        <w:rPr>
          <w:rFonts w:asciiTheme="majorHAnsi" w:hAnsiTheme="majorHAnsi" w:cstheme="majorHAnsi"/>
          <w:szCs w:val="24"/>
        </w:rPr>
        <w:lastRenderedPageBreak/>
        <w:t>pairs added to the matrix after the full run (NLRX1 and PPIF with MPT-driven necrosis) were classified separately with the same logic using a five-vote majority, completing 100% pair coverage (21,568/21,568).</w:t>
      </w:r>
    </w:p>
    <w:p w14:paraId="31C1524D" w14:textId="77777777" w:rsidR="00871F46" w:rsidRPr="009B500E" w:rsidRDefault="00871F46" w:rsidP="009B500E">
      <w:pPr>
        <w:spacing w:after="0" w:line="240" w:lineRule="auto"/>
        <w:rPr>
          <w:rFonts w:asciiTheme="majorHAnsi" w:hAnsiTheme="majorHAnsi" w:cstheme="majorHAnsi"/>
          <w:szCs w:val="24"/>
        </w:rPr>
      </w:pPr>
    </w:p>
    <w:p w14:paraId="607F24BF"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3 Benchmark: Elicit Systematic Review Governance Validation</w:t>
      </w:r>
    </w:p>
    <w:p w14:paraId="08B19CE4"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Rationale. Phase 3 of the RCDome pipeline uses Elicit's systematic review API (</w:t>
      </w:r>
      <w:hyperlink r:id="rId40">
        <w:r w:rsidRPr="009B500E">
          <w:rPr>
            <w:rFonts w:asciiTheme="majorHAnsi" w:hAnsiTheme="majorHAnsi" w:cstheme="majorHAnsi"/>
            <w:color w:val="0563C1"/>
            <w:szCs w:val="24"/>
            <w:u w:val="single"/>
          </w:rPr>
          <w:t>https://elicit.com</w:t>
        </w:r>
      </w:hyperlink>
      <w:r w:rsidRPr="009B500E">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20DC80B7" w14:textId="77777777" w:rsidR="00EA778E" w:rsidRPr="009B500E" w:rsidRDefault="00EA778E" w:rsidP="009B500E">
      <w:pPr>
        <w:spacing w:after="0" w:line="240" w:lineRule="auto"/>
        <w:rPr>
          <w:rFonts w:asciiTheme="majorHAnsi" w:hAnsiTheme="majorHAnsi" w:cstheme="majorHAnsi"/>
          <w:b/>
          <w:szCs w:val="24"/>
        </w:rPr>
      </w:pPr>
    </w:p>
    <w:p w14:paraId="4642B490" w14:textId="77777777" w:rsidR="0019489D" w:rsidRPr="009B500E" w:rsidRDefault="00921C18"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 xml:space="preserve">Benchmark Design. </w:t>
      </w:r>
      <w:r w:rsidRPr="009B500E">
        <w:rPr>
          <w:rFonts w:asciiTheme="majorHAnsi" w:hAnsiTheme="majorHAnsi" w:cstheme="majorHAnsi"/>
          <w:bCs/>
          <w:szCs w:val="24"/>
        </w:rPr>
        <w:t>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(Figure 2B).</w:t>
      </w:r>
    </w:p>
    <w:p w14:paraId="0815C81D" w14:textId="77777777" w:rsidR="00871F46" w:rsidRPr="009B500E" w:rsidRDefault="00871F46" w:rsidP="009B500E">
      <w:pPr>
        <w:spacing w:after="0" w:line="240" w:lineRule="auto"/>
        <w:rPr>
          <w:rFonts w:asciiTheme="majorHAnsi" w:hAnsiTheme="majorHAnsi" w:cstheme="majorHAnsi"/>
          <w:szCs w:val="24"/>
        </w:rPr>
      </w:pPr>
    </w:p>
    <w:p w14:paraId="46AAC52B"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gene_symbol (free text, post-filtered against the allow-list), mechanistic_role (EXECUTOR, REGULATOR, MARKER, UNCERTAIN), evidence_type (GENETIC_PERTURBATION, PHARMACOLOGICAL, EXPRESSION_CORRELATION, CITATION_ONLY), verbatim_sentence (direct quote from the paper), role_direction (PROMOTES, PROTECTS, ASSOCIATED, BIDIRECTIONAL, UNCLEAR), and required_for_death (YES, PARTIAL, NO, NOT_TESTED, UNCLEAR). Extraction was configured with `generate: False` to ensure that the six columns, rather than Elicit's default auto-generated schema, were applied to every paper.</w:t>
      </w:r>
    </w:p>
    <w:p w14:paraId="205AEB26" w14:textId="77777777" w:rsidR="00EA778E" w:rsidRPr="009B500E" w:rsidRDefault="00EA778E" w:rsidP="009B500E">
      <w:pPr>
        <w:spacing w:after="0" w:line="240" w:lineRule="auto"/>
        <w:rPr>
          <w:rFonts w:asciiTheme="majorHAnsi" w:hAnsiTheme="majorHAnsi" w:cstheme="majorHAnsi"/>
          <w:b/>
          <w:szCs w:val="24"/>
        </w:rPr>
      </w:pPr>
    </w:p>
    <w:p w14:paraId="5AFBD331"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Post-Export Governance.</w:t>
      </w:r>
      <w:r w:rsidRPr="009B500E">
        <w:rPr>
          <w:rFonts w:asciiTheme="majorHAnsi" w:hAnsiTheme="majorHAnsi" w:cstheme="majorHAnsi"/>
          <w:szCs w:val="24"/>
        </w:rPr>
        <w:t xml:space="preserve"> 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`required_for_death = YES` was downgraded to REGULATOR, reflecting the NCCD criterion that executioner genes must be demonstrably necessary for the death process. (Rule 4) Deduplication: records were deduplicated on (DOI, gene_symbol, first 50 characters of verbatim_sentence). Rules 2 and 3 together implement the governance principle that SENSITIZER and RESISTANCE are not </w:t>
      </w:r>
      <w:r w:rsidRPr="009B500E">
        <w:rPr>
          <w:rFonts w:asciiTheme="majorHAnsi" w:hAnsiTheme="majorHAnsi" w:cstheme="majorHAnsi"/>
          <w:szCs w:val="24"/>
        </w:rPr>
        <w:lastRenderedPageBreak/>
        <w:t>ontological categories distinct from REGULATOR but rather directional modifiers of regulation. This normalization reduces a five-term vocabulary (EXECUTOR, REGULATOR, MARKER, SENSITIZER, RESISTANCE) to three, improving cross-form comparability without loss of granularity -- the directional information is preserved in the separate role_direction column.</w:t>
      </w:r>
    </w:p>
    <w:p w14:paraId="09E1D619" w14:textId="77777777" w:rsidR="00EA778E" w:rsidRPr="009B500E" w:rsidRDefault="00EA778E" w:rsidP="009B500E">
      <w:pPr>
        <w:spacing w:after="0" w:line="240" w:lineRule="auto"/>
        <w:rPr>
          <w:rFonts w:asciiTheme="majorHAnsi" w:hAnsiTheme="majorHAnsi" w:cstheme="majorHAnsi"/>
          <w:b/>
          <w:szCs w:val="24"/>
        </w:rPr>
      </w:pPr>
    </w:p>
    <w:p w14:paraId="37DF21A6" w14:textId="77777777" w:rsidR="00495FA3" w:rsidRDefault="00921C18" w:rsidP="009B500E">
      <w:pPr>
        <w:spacing w:after="0" w:line="240" w:lineRule="auto"/>
        <w:rPr>
          <w:rFonts w:asciiTheme="majorHAnsi" w:hAnsiTheme="majorHAnsi" w:cstheme="majorHAnsi"/>
          <w:b/>
          <w:szCs w:val="24"/>
        </w:rPr>
      </w:pPr>
      <w:r w:rsidRPr="009B500E">
        <w:rPr>
          <w:rFonts w:asciiTheme="majorHAnsi" w:hAnsiTheme="majorHAnsi" w:cstheme="majorHAnsi"/>
          <w:b/>
          <w:szCs w:val="24"/>
        </w:rPr>
        <w:t xml:space="preserve">Five-Gate Evaluation Framework. </w:t>
      </w:r>
    </w:p>
    <w:p w14:paraId="061AA95C" w14:textId="77777777" w:rsidR="0019489D" w:rsidRPr="009B500E" w:rsidRDefault="00921C18" w:rsidP="009B500E">
      <w:pPr>
        <w:spacing w:after="0" w:line="240" w:lineRule="auto"/>
        <w:rPr>
          <w:rFonts w:asciiTheme="majorHAnsi" w:hAnsiTheme="majorHAnsi" w:cstheme="majorHAnsi"/>
          <w:szCs w:val="24"/>
        </w:rPr>
      </w:pPr>
      <w:r w:rsidRPr="00495FA3">
        <w:rPr>
          <w:rFonts w:asciiTheme="majorHAnsi" w:hAnsiTheme="majorHAnsi" w:cstheme="majorHAnsi"/>
          <w:bCs/>
          <w:szCs w:val="24"/>
        </w:rPr>
        <w:t>The benchmark assessed five independent compliance gates, each with a pre-registered threshold: The five governance gates are defined in Supplementary Table S8.</w:t>
      </w:r>
      <w:r w:rsidR="00495FA3">
        <w:rPr>
          <w:rFonts w:asciiTheme="majorHAnsi" w:hAnsiTheme="majorHAnsi" w:cstheme="majorHAnsi"/>
          <w:szCs w:val="24"/>
        </w:rPr>
        <w:t xml:space="preserve"> </w:t>
      </w:r>
      <w:r w:rsidRPr="009B500E">
        <w:rPr>
          <w:rFonts w:asciiTheme="majorHAnsi" w:hAnsiTheme="majorHAnsi" w:cstheme="majorHAnsi"/>
          <w:szCs w:val="24"/>
        </w:rPr>
        <w:t>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p>
    <w:p w14:paraId="47DFEFE9" w14:textId="77777777" w:rsidR="00EA778E" w:rsidRPr="009B500E" w:rsidRDefault="00EA778E" w:rsidP="009B500E">
      <w:pPr>
        <w:spacing w:after="0" w:line="240" w:lineRule="auto"/>
        <w:rPr>
          <w:rFonts w:asciiTheme="majorHAnsi" w:hAnsiTheme="majorHAnsi" w:cstheme="majorHAnsi"/>
          <w:b/>
          <w:szCs w:val="24"/>
        </w:rPr>
      </w:pPr>
    </w:p>
    <w:p w14:paraId="75038E0A"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Staged Elicit Extraction and Priority Tiers.</w:t>
      </w:r>
    </w:p>
    <w:p w14:paraId="246D1204"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Phase 3 Elicit systematic reviews are executed in three priority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w:t>
      </w:r>
      <w:r w:rsidR="00705A6F">
        <w:rPr>
          <w:rFonts w:asciiTheme="majorHAnsi" w:hAnsiTheme="majorHAnsi" w:cstheme="majorHAnsi"/>
          <w:szCs w:val="24"/>
        </w:rPr>
        <w:t>gene-RCD</w:t>
      </w:r>
      <w:r w:rsidRPr="009B500E">
        <w:rPr>
          <w:rFonts w:asciiTheme="majorHAnsi" w:hAnsiTheme="majorHAnsi" w:cstheme="majorHAnsi"/>
          <w:szCs w:val="24"/>
        </w:rPr>
        <w:t xml:space="preserve"> associations per Elicit review, and the largest forms (e.g., Apoptosis, 5,897 genes; Ferroptosis, 1,724 genes) carry the most associations awaiting independent validation.</w:t>
      </w:r>
    </w:p>
    <w:p w14:paraId="0758EB03" w14:textId="77777777" w:rsidR="00EA778E" w:rsidRPr="009B500E" w:rsidRDefault="00EA778E" w:rsidP="009B500E">
      <w:pPr>
        <w:spacing w:after="0" w:line="240" w:lineRule="auto"/>
        <w:rPr>
          <w:rFonts w:asciiTheme="majorHAnsi" w:hAnsiTheme="majorHAnsi" w:cstheme="majorHAnsi"/>
          <w:szCs w:val="24"/>
        </w:rPr>
      </w:pPr>
    </w:p>
    <w:p w14:paraId="793C9778"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gene_symbol, mechanistic_role, evidence_type, verbatim_sentence, role_direction, and required_for_death. Extraction proceeds in three priority phases (P1, P2, then P3), processing the largest allow-list first. Execution is sequential, resume-safe (progress saved after every form), and quota-aware: if the monthly API quota </w:t>
      </w:r>
      <w:r w:rsidR="001C0439">
        <w:rPr>
          <w:rFonts w:asciiTheme="majorHAnsi" w:hAnsiTheme="majorHAnsi" w:cstheme="majorHAnsi"/>
          <w:szCs w:val="24"/>
        </w:rPr>
        <w:t>is</w:t>
      </w:r>
      <w:r w:rsidRPr="009B500E">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248BDE71" w14:textId="77777777" w:rsidR="00BA2B2A" w:rsidRPr="009B500E" w:rsidRDefault="00BA2B2A" w:rsidP="009B500E">
      <w:pPr>
        <w:spacing w:after="0" w:line="240" w:lineRule="auto"/>
        <w:rPr>
          <w:rFonts w:asciiTheme="majorHAnsi" w:hAnsiTheme="majorHAnsi" w:cstheme="majorHAnsi"/>
          <w:szCs w:val="24"/>
        </w:rPr>
      </w:pPr>
    </w:p>
    <w:p w14:paraId="24E154AB"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Governance Literature Survey.</w:t>
      </w:r>
      <w:r w:rsidRPr="009B500E">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Pr>
          <w:rFonts w:asciiTheme="majorHAnsi" w:hAnsiTheme="majorHAnsi" w:cstheme="majorHAnsi"/>
          <w:szCs w:val="24"/>
        </w:rPr>
        <w:t>RAG</w:t>
      </w:r>
      <w:r w:rsidRPr="009B500E">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7379DFC3" w14:textId="77777777" w:rsidR="000B2C2A" w:rsidRPr="009B500E" w:rsidRDefault="000B2C2A" w:rsidP="009B500E">
      <w:pPr>
        <w:spacing w:after="0" w:line="240" w:lineRule="auto"/>
        <w:rPr>
          <w:rFonts w:asciiTheme="majorHAnsi" w:hAnsiTheme="majorHAnsi" w:cstheme="majorHAnsi"/>
          <w:szCs w:val="24"/>
        </w:rPr>
      </w:pPr>
    </w:p>
    <w:p w14:paraId="258A2C29"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2G: Consensus Evidence-Channel Classification</w:t>
      </w:r>
    </w:p>
    <w:p w14:paraId="40CCDF29"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A third, fully independent evidence channel was added through the Consensus academic search engine API. Each gene-RCD pair is queried with a neutral formulation — the gene symbol followed only by “cell death” — so that the model retrieves evidence without form-name priming. The channel returns a mechanistic verdict, role, and direction, benchmarked against the same 26-pair ground-truth set used for the DeepSeek model-selection benchmark; seven query formulations were evaluated, and the neutral-query rule reached 100% combined accuracy with zero false positives (Supplementary Note S3; Figure 2C). The full extraction runs over all 21,568 unique pairs with a checkpoint file for resumption, subject to a monthly call ceiling.</w:t>
      </w:r>
      <w:r w:rsidR="00705A6F">
        <w:rPr>
          <w:rFonts w:asciiTheme="majorHAnsi" w:hAnsiTheme="majorHAnsi" w:cstheme="majorHAnsi"/>
          <w:szCs w:val="24"/>
        </w:rPr>
      </w:r>
      <w:r w:rsidRPr="009B500E">
        <w:rPr>
          <w:rFonts w:asciiTheme="majorHAnsi" w:hAnsiTheme="majorHAnsi" w:cstheme="majorHAnsi"/>
          <w:szCs w:val="24"/>
        </w:rPr>
      </w:r>
      <w:r w:rsidRPr="001C0439">
        <w:rPr>
          <w:rFonts w:asciiTheme="majorHAnsi" w:hAnsiTheme="majorHAnsi" w:cstheme="majorHAnsi"/>
          <w:szCs w:val="24"/>
          <w:highlight w:val="green"/>
        </w:rPr>
      </w:r>
      <w:r w:rsidRPr="009B500E">
        <w:rPr>
          <w:rFonts w:asciiTheme="majorHAnsi" w:hAnsiTheme="majorHAnsi" w:cstheme="majorHAnsi"/>
          <w:szCs w:val="24"/>
        </w:rPr>
      </w:r>
      <w:r w:rsidRPr="001C0439">
        <w:rPr>
          <w:rFonts w:asciiTheme="majorHAnsi" w:hAnsiTheme="majorHAnsi" w:cstheme="majorHAnsi"/>
          <w:szCs w:val="24"/>
          <w:highlight w:val="green"/>
        </w:rPr>
      </w:r>
      <w:r w:rsidRPr="009B500E">
        <w:rPr>
          <w:rFonts w:asciiTheme="majorHAnsi" w:hAnsiTheme="majorHAnsi" w:cstheme="majorHAnsi"/>
          <w:szCs w:val="24"/>
        </w:rPr>
      </w:r>
    </w:p>
    <w:p w14:paraId="0E99FF90" w14:textId="77777777" w:rsidR="00EA778E" w:rsidRPr="00FC261A" w:rsidRDefault="00EA778E" w:rsidP="009B500E">
      <w:pPr>
        <w:spacing w:after="0" w:line="240" w:lineRule="auto"/>
        <w:rPr>
          <w:rFonts w:asciiTheme="majorHAnsi" w:hAnsiTheme="majorHAnsi" w:cstheme="majorHAnsi"/>
          <w:color w:val="EE0000"/>
          <w:szCs w:val="24"/>
        </w:rPr>
      </w:pPr>
    </w:p>
    <w:p w14:paraId="44EDFEB8" w14:textId="77777777" w:rsidR="00925876" w:rsidRPr="009B500E" w:rsidRDefault="00921C18" w:rsidP="009B500E">
      <w:pPr>
        <w:spacing w:after="0" w:line="240" w:lineRule="auto"/>
        <w:rPr>
          <w:rFonts w:asciiTheme="majorHAnsi" w:hAnsiTheme="majorHAnsi" w:cstheme="majorHAnsi"/>
          <w:b/>
          <w:bCs/>
          <w:color w:val="EE0000"/>
          <w:szCs w:val="24"/>
        </w:rPr>
      </w:pPr>
      <w:r w:rsidRPr="009B500E">
        <w:rPr>
          <w:rFonts w:asciiTheme="majorHAnsi" w:hAnsiTheme="majorHAnsi" w:cstheme="majorHAnsi"/>
          <w:b/>
          <w:bCs/>
          <w:szCs w:val="24"/>
        </w:rPr>
        <w:t>RCDome Platform Architecture</w:t>
      </w:r>
    </w:p>
    <w:p w14:paraId="7951B6A7" w14:textId="77777777" w:rsidR="00925876" w:rsidRPr="009B500E" w:rsidRDefault="00921C18" w:rsidP="009B500E">
      <w:pPr>
        <w:spacing w:after="0" w:line="240" w:lineRule="auto"/>
        <w:rPr>
          <w:rFonts w:asciiTheme="majorHAnsi" w:hAnsiTheme="majorHAnsi" w:cstheme="majorHAnsi"/>
          <w:szCs w:val="24"/>
        </w:rPr>
      </w:pPr>
      <w:r>
        <w:t>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and four data modules — RCD entities (all 53 RCD-related entities, with modal descriptions), Gene Catalog (the complete matrix with Genes, Isoforms, miRNA, and Proteins views, a Direction/Role source selector, a death-core preset, and a per-entity comparison), Network, and RCDchat (LLM literature consultation) — plus an About page with data provenance. Seven module cards (compendium browser, gene-centric explorer, pathway diagrams, literature consultation, definition comparator, discovery timeline, and integration toolkit) are exposed on the Home page as entry points to be completed in later releases. The platform also includes the Digital Molecular RCD Board, an AI-assisted synthesis interface that generates governance-audited, provenance-traced reports for gene-RCD pairs.</w:t>
      </w:r>
    </w:p>
    <w:p w14:paraId="4ED90E64" w14:textId="77777777" w:rsidR="0022059B" w:rsidRDefault="0022059B"/>
    <w:p w14:paraId="7809F78E" w14:textId="77777777" w:rsidR="00533B0E" w:rsidRDefault="00000000">
      <w:r>
        <w:t>RCDome integrates all 53 RCD-related entities from 20 independent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(T1–T4). At its core lies a curated controlled vocabulary of 53 RCD-related entities, consolidated from 62 original name strings across 20 independent resources through systematic literature and database surveillance. Supplementary Table S9 compares RCDome against FerrDB v3 and RCDdb across the resources' key features. The complete codebase is available for reproducibility and independent audit of every step from database extraction to evidence verification.</w:t>
      </w:r>
    </w:p>
    <w:p w14:paraId="316AEBA3" w14:textId="77777777" w:rsidR="00EA778E" w:rsidRPr="009B500E" w:rsidRDefault="00EA778E" w:rsidP="009B500E">
      <w:pPr>
        <w:spacing w:after="0" w:line="240" w:lineRule="auto"/>
        <w:rPr>
          <w:rFonts w:asciiTheme="majorHAnsi" w:hAnsiTheme="majorHAnsi" w:cstheme="majorHAnsi"/>
          <w:b/>
          <w:bCs/>
          <w:szCs w:val="24"/>
        </w:rPr>
      </w:pPr>
    </w:p>
    <w:p w14:paraId="6DDE992A"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Extraction Scripts: The complete extraction-pipeline scripts are catalogued in Supplementary Table S10.</w:t>
      </w:r>
      <w:r>
        <w:t xml:space="preserve"> For completeness, TCGA, GEO, CPTAC, CCLE/GDSC/DepMap, STRING, and BioGRID are annotation/PPI sources, not gene extraction sources.</w:t>
      </w:r>
    </w:p>
    <w:p w14:paraId="0FA6CF01" w14:textId="77777777" w:rsidR="00925876" w:rsidRPr="009B500E" w:rsidRDefault="00925876" w:rsidP="009B500E">
      <w:pPr>
        <w:spacing w:after="0" w:line="240" w:lineRule="auto"/>
        <w:rPr>
          <w:rFonts w:asciiTheme="majorHAnsi" w:hAnsiTheme="majorHAnsi" w:cstheme="majorHAnsi"/>
          <w:szCs w:val="24"/>
        </w:rPr>
      </w:pPr>
    </w:p>
    <w:p w14:paraId="0D601ED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Each script is self-contained, documented with input/output paths and source URLs, and reproducible with Python 3.8+ and standard dependencies (openpyxl, csv, json, urllib, subprocess, xml.etree, zipfile).</w:t>
      </w:r>
    </w:p>
    <w:p w14:paraId="3B8B46BD" w14:textId="77777777" w:rsidR="00871F46" w:rsidRPr="009B500E" w:rsidRDefault="00871F46" w:rsidP="009B500E">
      <w:pPr>
        <w:spacing w:after="0" w:line="240" w:lineRule="auto"/>
        <w:rPr>
          <w:rFonts w:asciiTheme="majorHAnsi" w:hAnsiTheme="majorHAnsi" w:cstheme="majorHAnsi"/>
          <w:szCs w:val="24"/>
        </w:rPr>
      </w:pPr>
    </w:p>
    <w:p w14:paraId="6925A270" w14:textId="77777777" w:rsidR="00B9076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extraction scripts are available in the code/extraction/ directory and are executable via the master orchestrator master_extract.py. The output CSVs in output databases/ contain all gene-RCD associations with full source traceability.</w:t>
      </w:r>
    </w:p>
    <w:p w14:paraId="63D5A476" w14:textId="77777777" w:rsidR="00B9076D" w:rsidRPr="009B500E" w:rsidRDefault="00B9076D" w:rsidP="009B500E">
      <w:pPr>
        <w:spacing w:after="0" w:line="240" w:lineRule="auto"/>
        <w:rPr>
          <w:rFonts w:asciiTheme="majorHAnsi" w:hAnsiTheme="majorHAnsi" w:cstheme="majorHAnsi"/>
          <w:b/>
          <w:szCs w:val="24"/>
        </w:rPr>
      </w:pPr>
    </w:p>
    <w:p w14:paraId="161333C9" w14:textId="77777777" w:rsidR="00EA778E" w:rsidRPr="009B500E" w:rsidRDefault="00EA778E" w:rsidP="009B500E">
      <w:pPr>
        <w:pStyle w:val="Ttulo2"/>
        <w:spacing w:before="0" w:line="240" w:lineRule="auto"/>
        <w:rPr>
          <w:rFonts w:cstheme="majorHAnsi"/>
          <w:sz w:val="24"/>
          <w:szCs w:val="24"/>
        </w:rPr>
      </w:pPr>
    </w:p>
    <w:p w14:paraId="79B67597" w14:textId="77777777" w:rsidR="000C7EE5" w:rsidRPr="009B500E" w:rsidRDefault="00921C18" w:rsidP="009B500E">
      <w:pPr>
        <w:pStyle w:val="Ttulo2"/>
        <w:spacing w:before="0" w:line="240" w:lineRule="auto"/>
        <w:rPr>
          <w:rFonts w:cstheme="majorHAnsi"/>
          <w:sz w:val="24"/>
          <w:szCs w:val="24"/>
        </w:rPr>
      </w:pPr>
      <w:r w:rsidRPr="009B500E">
        <w:rPr>
          <w:rFonts w:cstheme="majorHAnsi"/>
          <w:sz w:val="24"/>
          <w:szCs w:val="24"/>
        </w:rPr>
        <w:t>RESULTS</w:t>
      </w:r>
    </w:p>
    <w:p w14:paraId="67CA1E4F" w14:textId="77777777" w:rsidR="009B500E" w:rsidRDefault="009B500E" w:rsidP="009B500E">
      <w:pPr>
        <w:spacing w:after="0" w:line="240" w:lineRule="auto"/>
        <w:rPr>
          <w:rFonts w:asciiTheme="majorHAnsi" w:hAnsiTheme="majorHAnsi" w:cstheme="majorHAnsi"/>
          <w:b/>
          <w:szCs w:val="24"/>
        </w:rPr>
      </w:pPr>
    </w:p>
    <w:p w14:paraId="4FF9B1A9" w14:textId="77777777" w:rsidR="000C7EE5" w:rsidRPr="009B500E" w:rsidRDefault="00661FF5" w:rsidP="009B500E">
      <w:pPr>
        <w:spacing w:after="0" w:line="240" w:lineRule="auto"/>
        <w:rPr>
          <w:rFonts w:asciiTheme="majorHAnsi" w:hAnsiTheme="majorHAnsi" w:cstheme="majorHAnsi"/>
          <w:szCs w:val="24"/>
        </w:rPr>
      </w:pPr>
      <w:r>
        <w:rPr>
          <w:rFonts w:asciiTheme="majorHAnsi" w:hAnsiTheme="majorHAnsi" w:cstheme="majorHAnsi"/>
          <w:b/>
          <w:szCs w:val="24"/>
        </w:rPr>
        <w:t xml:space="preserve">The RCDome </w:t>
      </w:r>
      <w:r w:rsidR="00921C18" w:rsidRPr="009B500E">
        <w:rPr>
          <w:rFonts w:asciiTheme="majorHAnsi" w:hAnsiTheme="majorHAnsi" w:cstheme="majorHAnsi"/>
          <w:b/>
          <w:szCs w:val="24"/>
        </w:rPr>
        <w:t>Compendium Composition</w:t>
      </w:r>
    </w:p>
    <w:p w14:paraId="39218EFD" w14:textId="77777777" w:rsidR="00925876"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final canonicalized vocabulary comprises 53 RCD-related entities (Supplementary Note S4) spanning five ontological levels; importantly, canonicalization denotes vocabulary normalization and does not confer modality status, and only 16 of the 53 entities satisfy the G0–G6 hard-gate criteria for classification as bona fide RCD modalities. The 53 entities are organized into: 16 RCD modalities (bona fide cell death mechanisms with distinct molecular machinery, admitted through the G0-G6 hard gates), 5 subtypes (mechanistic subdivisions of parent modalities), 2 triggers (events that initiate cell death without themselves being death mechanisms), 11 functional/contextual categories (contextual programs, morphological outcomes, cell-type and differentiation programs), and 19 generic/umbrella/legacy/taxon/emerging concepts (umbrella, legacy, taxon-specific, and speculative emerging terms). All 53 entities carry gene-level evidence in the unified matrix (Database S1).</w:t>
      </w:r>
    </w:p>
    <w:p w14:paraId="57775DA5" w14:textId="77777777" w:rsidR="008A62B5" w:rsidRPr="009B500E" w:rsidRDefault="008A62B5" w:rsidP="009B500E">
      <w:pPr>
        <w:spacing w:after="0" w:line="240" w:lineRule="auto"/>
        <w:rPr>
          <w:rFonts w:asciiTheme="majorHAnsi" w:hAnsiTheme="majorHAnsi" w:cstheme="majorHAnsi"/>
          <w:szCs w:val="24"/>
        </w:rPr>
      </w:pPr>
    </w:p>
    <w:p w14:paraId="195065B3" w14:textId="77777777" w:rsidR="00661FF5"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compendium contains 22,473 gene-RCD association rows spanning 9,265 unique HGNC-validated human gene symbols and 53 RCD-related entities (62 original RCD form name strings, consolidated through 11 synonym merges) (Dataset S1). These comprise 16 RCD modalities, 5 subtypes, 2 triggers, 11 functional/contextual categories, and 19 generic/umbrella/legacy/taxon/emerging concepts (Supplementary Table S3).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 a form formally excluded by the five-criteria admission framework (see Material and Methods) — were removed, eliminating three genes (APMAP, ATP11C, CDC50A) that appeared only under that form. Gene biotypes are predominantly protein-coding (20,643,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3C5A46F0" w14:textId="77777777" w:rsidR="00661FF5" w:rsidRDefault="00661FF5" w:rsidP="009B500E">
      <w:pPr>
        <w:spacing w:after="0" w:line="240" w:lineRule="auto"/>
        <w:rPr>
          <w:rFonts w:asciiTheme="majorHAnsi" w:hAnsiTheme="majorHAnsi" w:cstheme="majorHAnsi"/>
          <w:szCs w:val="24"/>
        </w:rPr>
      </w:pPr>
    </w:p>
    <w:p w14:paraId="6E6046E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Among the 53 RCD-related entities, gene coverage is highly heterogeneous: the largest forms, Apoptosis (6,229 entries) and Autophagy (4,790),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108; WikiPathways: Senescence and Autophagy in Cancer, 105; and XDeathDB: Mitotic death, </w:t>
      </w:r>
      <w:r w:rsidRPr="009B500E">
        <w:rPr>
          <w:rFonts w:asciiTheme="majorHAnsi" w:hAnsiTheme="majorHAnsi" w:cstheme="majorHAnsi"/>
          <w:szCs w:val="24"/>
        </w:rPr>
        <w:lastRenderedPageBreak/>
        <w:t>239) represent newly integrated categories not present in the original NCCD 2018-derived vocabulary. Every gene-RCD association carries full provenance to its source database — ten RCD-specific curated databases (FerrDB v3, RCDdb, iPCD, LncRCD, iLIR, HADb, HAMdb, ATD, AMT-DB, ncFO), five pathway and molecular databases (KEGG, Reactome, Gene Ontology, MSigDB/GSEA, WikiPathways), NCBI Gene, and six omic-annotation resources (TCGA, GEO, CPTAC, CCLE, GDSC, DepMap), supplemented by the AI-assisted Elicit extraction (20 independent resources, Supplementary Table S2) —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(Supplementary Figure S1).</w:t>
      </w:r>
    </w:p>
    <w:p w14:paraId="7E8C93A2" w14:textId="77777777" w:rsidR="004C566E" w:rsidRPr="009B500E" w:rsidRDefault="004C566E" w:rsidP="009B500E">
      <w:pPr>
        <w:spacing w:after="0" w:line="240" w:lineRule="auto"/>
        <w:rPr>
          <w:rFonts w:asciiTheme="majorHAnsi" w:hAnsiTheme="majorHAnsi" w:cstheme="majorHAnsi"/>
          <w:b/>
          <w:szCs w:val="24"/>
        </w:rPr>
      </w:pPr>
    </w:p>
    <w:p w14:paraId="7208A2F6"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RCD entity census and operational definitions</w:t>
      </w:r>
    </w:p>
    <w:p w14:paraId="5060B3F9" w14:textId="77777777" w:rsidR="00A82E1A" w:rsidRPr="009B500E" w:rsidRDefault="00000000" w:rsidP="009B500E">
      <w:pPr>
        <w:spacing w:after="0" w:line="240" w:lineRule="auto"/>
        <w:rPr>
          <w:rFonts w:asciiTheme="majorHAnsi" w:hAnsiTheme="majorHAnsi" w:cstheme="majorHAnsi"/>
          <w:szCs w:val="24"/>
        </w:rPr>
      </w:pPr>
      <w:r>
        <w:t>The RCDome identified 53 canonicalized RCD-related entities, represented by 22,473 gene-RCD pairs in the unified evidence matrix. Of these, 20 carried the verbatim operational definitions of the Nomenclature Committee on Cell Death (NCCD; Galluzzi et al. 2018), 12 carried the expanded operational definitions of the multi-optosis dataset (Rodrigues et al. 2025) — of which five (cuproptosis, disulfidptosis, erebosis, alkaliptosis, and oxeiptosis) were not described by the NCCD and had been AI-extracted from a 6,603-PDF corpus and human-validated —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(Supplementary Table S11) The ontological adjudication of each entity — the pre- and post-adjudication levels and the Q1–Q13 evidence trail under the G0–G6 hard gates — is documented in Supplementary Table S12.</w:t>
      </w:r>
    </w:p>
    <w:p w14:paraId="28E533FF" w14:textId="77777777" w:rsidR="009B500E" w:rsidRDefault="009B500E" w:rsidP="009B500E">
      <w:pPr>
        <w:spacing w:after="0" w:line="240" w:lineRule="auto"/>
        <w:rPr>
          <w:rFonts w:asciiTheme="majorHAnsi" w:hAnsiTheme="majorHAnsi" w:cstheme="majorHAnsi"/>
          <w:szCs w:val="24"/>
        </w:rPr>
      </w:pPr>
    </w:p>
    <w:p w14:paraId="7C087D9F"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Among the 25 multi-optosis-anchored entities the overall score S ranged from 9.70 (apoptosis) to 4.15 (necrosis), and among the 28 RCDome-drafted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6CC8419B" w14:textId="77777777" w:rsidR="009B500E" w:rsidRDefault="009B500E" w:rsidP="009B500E">
      <w:pPr>
        <w:spacing w:after="0" w:line="240" w:lineRule="auto"/>
        <w:rPr>
          <w:rFonts w:asciiTheme="majorHAnsi" w:hAnsiTheme="majorHAnsi" w:cstheme="majorHAnsi"/>
          <w:szCs w:val="24"/>
        </w:rPr>
      </w:pPr>
    </w:p>
    <w:p w14:paraId="5989D975" w14:textId="77777777" w:rsidR="00A82E1A" w:rsidRPr="009B500E" w:rsidRDefault="00000000" w:rsidP="009B500E">
      <w:pPr>
        <w:spacing w:after="0" w:line="240" w:lineRule="auto"/>
        <w:rPr>
          <w:rFonts w:asciiTheme="majorHAnsi" w:hAnsiTheme="majorHAnsi" w:cstheme="majorHAnsi"/>
          <w:szCs w:val="24"/>
        </w:rPr>
      </w:pPr>
      <w:r>
        <w:t xml:space="preserve">Each entity's </w:t>
      </w:r>
      <w:r w:rsidR="00661FF5">
        <w:t xml:space="preserve">operational </w:t>
      </w:r>
      <w: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inflammatory status (no); the overlap description (phosphatidylserine-exposure clearance, apoptosis/efferocytosis-like); the six criteria C1–C6 (4/4/4/4/5/5) with overall score S = 4.15; and the full provenance chain (founding PMID 16910766, Lang </w:t>
      </w:r>
      <w:r>
        <w:rPr>
          <w:i/>
        </w:rPr>
        <w:t>et al.</w:t>
      </w:r>
      <w:r>
        <w:t xml:space="preserve"> 2006; authoring source </w:t>
      </w:r>
      <w:r>
        <w:lastRenderedPageBreak/>
        <w:t xml:space="preserve">Rodrigues </w:t>
      </w:r>
      <w:r>
        <w:rPr>
          <w:i/>
        </w:rPr>
        <w:t>et al.</w:t>
      </w:r>
      <w:r>
        <w:t>, RCDome; source databases Elicit_Phase3 and NCBI_Gene; channels B and E).</w:t>
      </w:r>
    </w:p>
    <w:p w14:paraId="18684AFA" w14:textId="77777777" w:rsidR="004B02F0" w:rsidRDefault="004B02F0" w:rsidP="009B500E">
      <w:pPr>
        <w:spacing w:after="0" w:line="240" w:lineRule="auto"/>
        <w:rPr>
          <w:rFonts w:asciiTheme="majorHAnsi" w:hAnsiTheme="majorHAnsi" w:cstheme="majorHAnsi"/>
          <w:szCs w:val="24"/>
        </w:rPr>
      </w:pPr>
    </w:p>
    <w:p w14:paraId="74111AC1" w14:textId="77777777" w:rsidR="00A82E1A" w:rsidRPr="009B500E" w:rsidRDefault="00000000" w:rsidP="009B500E">
      <w:pPr>
        <w:spacing w:after="0" w:line="240" w:lineRule="auto"/>
        <w:rPr>
          <w:rFonts w:asciiTheme="majorHAnsi" w:hAnsiTheme="majorHAnsi" w:cstheme="majorHAnsi"/>
          <w:szCs w:val="24"/>
        </w:rPr>
      </w:pPr>
      <w: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13 partially corroborated (subtypes, umbrellas, and legacy terms without a single coining paper), and one NCCD-locked definition whose draft complement only was unscored. DeepSeek full-text validation of the 33 non-NCCD entities — using PMC full text where available and Consensus full-text-derived takeaways otherwise — returned 6 fully validated and 26 with minor wording gaps.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r>
        <w:rPr>
          <w:i/>
        </w:rPr>
      </w:r>
      <w:r/>
    </w:p>
    <w:p w14:paraId="4F3C5852" w14:textId="77777777" w:rsidR="004B02F0" w:rsidRDefault="004B02F0" w:rsidP="009B500E">
      <w:pPr>
        <w:spacing w:after="0" w:line="240" w:lineRule="auto"/>
        <w:rPr>
          <w:rFonts w:asciiTheme="majorHAnsi" w:hAnsiTheme="majorHAnsi" w:cstheme="majorHAnsi"/>
          <w:szCs w:val="24"/>
        </w:rPr>
      </w:pPr>
    </w:p>
    <w:p w14:paraId="59152584" w14:textId="77777777" w:rsidR="00A82E1A" w:rsidRPr="009B500E" w:rsidRDefault="00000000" w:rsidP="009B500E">
      <w:pPr>
        <w:spacing w:after="0" w:line="240" w:lineRule="auto"/>
        <w:rPr>
          <w:rFonts w:asciiTheme="majorHAnsi" w:hAnsiTheme="majorHAnsi" w:cstheme="majorHAnsi"/>
          <w:szCs w:val="24"/>
        </w:rPr>
      </w:pPr>
      <w:r>
        <w:t xml:space="preserve">Four of the </w:t>
      </w:r>
      <w:r>
        <w:rPr>
          <w:i/>
        </w:rPr>
        <w:t>de novo</w:t>
      </w:r>
      <w:r>
        <w:t xml:space="preserve"> drafts — lysoptosis, PANoptosis, regulated necrosis, and triaptosis — were flagged as criterion-pending because their founding articles describe the mechanism but not the C2 trigger and/or the 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p>
    <w:p w14:paraId="1B4D3017" w14:textId="77777777" w:rsidR="004B02F0" w:rsidRDefault="004B02F0" w:rsidP="009B500E">
      <w:pPr>
        <w:spacing w:after="0" w:line="240" w:lineRule="auto"/>
        <w:rPr>
          <w:rFonts w:asciiTheme="majorHAnsi" w:hAnsiTheme="majorHAnsi" w:cstheme="majorHAnsi"/>
          <w:szCs w:val="24"/>
        </w:rPr>
      </w:pPr>
    </w:p>
    <w:p w14:paraId="7B3AB4D9" w14:textId="2BA92CEA" w:rsidR="0065188A" w:rsidRPr="009B500E" w:rsidRDefault="00000000" w:rsidP="009B500E">
      <w:pPr>
        <w:spacing w:after="0" w:line="240" w:lineRule="auto"/>
        <w:rPr>
          <w:rFonts w:asciiTheme="majorHAnsi" w:hAnsiTheme="majorHAnsi" w:cstheme="majorHAnsi"/>
          <w:szCs w:val="24"/>
        </w:rPr>
      </w:pPr>
      <w:commentRangeStart w:id="0"/>
      <w:r w:rsidRPr="002E2E0A">
        <w:rPr>
          <w:rFonts w:asciiTheme="majorHAnsi" w:hAnsiTheme="majorHAnsi" w:cstheme="majorHAnsi"/>
          <w:color w:val="EE0000"/>
          <w:szCs w:val="24"/>
          <w:highlight w:val="cyan"/>
        </w:rPr>
        <w:t>Two ontology corrections were applied following the biological curation: MPT-driven necrosis was reclassified from the trigger level (L3) to the modality level (L1), while the mitochondrial permeability transition (MPT) itself remains a trigger (L3) — correcting a trigger-centered placement; and vacuolar cell death was reclassified from L4 to L5 as a taxon-specific morphological category (plant + protist; not human). Following the adoption of strict hard gates (G0-G6; Methods), the ontological levels were recalibrated across the 53 entities: L1 was restricted to the 16 bona fide modalities, while morphology, umbrella, contextual, taxon-specific, legacy, and speculative emerging forms were re-leveled to L2-L5 (Supplementary Table S11).</w:t>
      </w:r>
      <w:r w:rsidRPr="009B500E">
        <w:rPr>
          <w:rFonts w:asciiTheme="majorHAnsi" w:hAnsiTheme="majorHAnsi" w:cstheme="majorHAnsi"/>
          <w:szCs w:val="24"/>
        </w:rPr>
      </w:r>
      <w:r w:rsidRPr="002E2E0A">
        <w:rPr>
          <w:rFonts w:asciiTheme="majorHAnsi" w:hAnsiTheme="majorHAnsi" w:cstheme="majorHAnsi"/>
          <w:szCs w:val="24"/>
          <w:highlight w:val="yellow"/>
        </w:rPr>
      </w:r>
      <w:r w:rsidRPr="009B500E">
        <w:rPr>
          <w:rFonts w:asciiTheme="majorHAnsi" w:hAnsiTheme="majorHAnsi" w:cstheme="majorHAnsi"/>
          <w:szCs w:val="24"/>
        </w:rPr>
      </w:r>
      <w:commentRangeEnd w:id="0"/>
      <w:r w:rsidR="002E2E0A">
        <w:rPr>
          <w:rStyle w:val="Refdecomentrio"/>
        </w:rPr>
      </w:r>
      <w:r w:rsidRPr="009B500E">
        <w:rPr>
          <w:rFonts w:asciiTheme="majorHAnsi" w:hAnsiTheme="majorHAnsi" w:cstheme="majorHAnsi"/>
          <w:szCs w:val="24"/>
        </w:rPr>
      </w:r>
      <w:r w:rsidRPr="002E2E0A">
        <w:rPr>
          <w:rFonts w:asciiTheme="majorHAnsi" w:hAnsiTheme="majorHAnsi" w:cstheme="majorHAnsi"/>
          <w:szCs w:val="24"/>
          <w:highlight w:val="yellow"/>
        </w:rPr>
      </w:r>
      <w:r w:rsidR="002E2E0A" w:rsidRPr="002E2E0A">
        <w:rPr>
          <w:rFonts w:asciiTheme="majorHAnsi" w:hAnsiTheme="majorHAnsi" w:cstheme="majorHAnsi"/>
          <w:szCs w:val="24"/>
          <w:highlight w:val="yellow"/>
        </w:rPr>
      </w:r>
      <w:r w:rsidRPr="009B500E">
        <w:rPr>
          <w:rFonts w:asciiTheme="majorHAnsi" w:hAnsiTheme="majorHAnsi" w:cstheme="majorHAnsi"/>
          <w:szCs w:val="24"/>
        </w:rPr>
      </w:r>
      <w:r w:rsidRPr="00661FF5">
        <w:rPr>
          <w:rFonts w:asciiTheme="majorHAnsi" w:hAnsiTheme="majorHAnsi" w:cstheme="majorHAnsi"/>
          <w:szCs w:val="24"/>
          <w:highlight w:val="green"/>
        </w:rPr>
      </w:r>
    </w:p>
    <w:p w14:paraId="1638E883" w14:textId="77777777" w:rsidR="004B02F0" w:rsidRDefault="004B02F0" w:rsidP="009B500E">
      <w:pPr>
        <w:spacing w:after="0" w:line="240" w:lineRule="auto"/>
        <w:rPr>
          <w:rFonts w:asciiTheme="majorHAnsi" w:hAnsiTheme="majorHAnsi" w:cstheme="majorHAnsi"/>
          <w:b/>
          <w:szCs w:val="24"/>
        </w:rPr>
      </w:pPr>
    </w:p>
    <w:p w14:paraId="203CB0D9"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Compendium Completeness</w:t>
      </w:r>
    </w:p>
    <w:p w14:paraId="535944B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Following the consolidation, 31 of 71 matrix columns are 100% populated with traceable data.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PMC recovery pipeline (see Material and Methods) populated 22,214 of 22,473 rows (98.8%) with at least one traceable PMID across four evidence channels (pmid_list, llm_pmids, epmc_pmids, elicit_pmids). A targeted Phase 2E extension searched Europe PMC full-text with DeepSeek LLM for all pairs lacking a co-occurrence PMID; none showed additional evidence, confirming these 442 DATABASE_ONLY (2.0%) represent the irreducible uncertainty of RCD knowledge: gene-RCD associations from curated databases with no independent verification in the indexed literature. rcd_gene_type and pmid_list remain empty only for database-only rows outside the Elicit and deep-RAG layers (17,576 and 20,102 of 22,473, respectively). No critical analytical column is empty. A formal governance contract with matrix versioning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r w:rsidRPr="00E23161">
        <w:rPr>
          <w:rFonts w:asciiTheme="majorHAnsi" w:hAnsiTheme="majorHAnsi" w:cstheme="majorHAnsi"/>
          <w:color w:val="auto"/>
          <w:szCs w:val="24"/>
        </w:rPr>
      </w:r>
      <w:r w:rsidRPr="00E23161">
        <w:rPr>
          <w:rFonts w:asciiTheme="majorHAnsi" w:hAnsiTheme="majorHAnsi" w:cstheme="majorHAnsi"/>
          <w:color w:val="auto"/>
          <w:szCs w:val="24"/>
        </w:rPr>
      </w:r>
      <w:r w:rsidRPr="009B500E">
        <w:rPr>
          <w:rFonts w:asciiTheme="majorHAnsi" w:hAnsiTheme="majorHAnsi" w:cstheme="majorHAnsi"/>
          <w:szCs w:val="24"/>
        </w:rPr>
      </w:r>
      <w:r/>
    </w:p>
    <w:p w14:paraId="22AD9F5C" w14:textId="77777777" w:rsidR="00EA778E" w:rsidRPr="009B500E" w:rsidRDefault="00EA778E" w:rsidP="009B500E">
      <w:pPr>
        <w:spacing w:after="0" w:line="240" w:lineRule="auto"/>
        <w:rPr>
          <w:rFonts w:asciiTheme="majorHAnsi" w:hAnsiTheme="majorHAnsi" w:cstheme="majorHAnsi"/>
          <w:szCs w:val="24"/>
        </w:rPr>
      </w:pPr>
    </w:p>
    <w:p w14:paraId="79C74A76" w14:textId="77777777" w:rsidR="000C7EE5" w:rsidRPr="009B500E" w:rsidRDefault="00921C18" w:rsidP="009B500E">
      <w:pPr>
        <w:spacing w:after="0" w:line="240" w:lineRule="auto"/>
        <w:rPr>
          <w:rFonts w:asciiTheme="majorHAnsi" w:hAnsiTheme="majorHAnsi" w:cstheme="majorHAnsi"/>
          <w:szCs w:val="24"/>
        </w:rPr>
      </w:pPr>
      <w:r>
        <w:rPr>
          <w:b/>
        </w:rPr>
        <w:t>Phase 2A/D Validation: Scale and Coverage</w:t>
      </w:r>
    </w:p>
    <w:p w14:paraId="6D8079FD" w14:textId="77777777" w:rsidR="00CA1683" w:rsidRDefault="00000000">
      <w:r>
        <w:t>Validation was performed on all 21,568 unique gene-RCD combinations. Of the compendium's 22,473 total rows, 22,214 carry PMIDs (98.8%), corresponding to 21,309 of these 21,568 unique combinations. Each was independently validated through a two-call LLM architecture against PubMed abstracts.</w:t>
      </w:r>
    </w:p>
    <w:p w14:paraId="74D4D91E" w14:textId="77777777" w:rsidR="00EA778E" w:rsidRPr="009B500E" w:rsidRDefault="00EA778E" w:rsidP="009B500E">
      <w:pPr>
        <w:spacing w:after="0" w:line="240" w:lineRule="auto"/>
        <w:rPr>
          <w:rFonts w:asciiTheme="majorHAnsi" w:hAnsiTheme="majorHAnsi" w:cstheme="majorHAnsi"/>
          <w:szCs w:val="24"/>
        </w:rPr>
      </w:pPr>
    </w:p>
    <w:p w14:paraId="249A37A1"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Validation Performance</w:t>
      </w:r>
    </w:p>
    <w:p w14:paraId="4B54EC56"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two-call majority-vote architecture reclassified evidence tiers, and the mechanistic_class versus evidence_tier concordance was 79.2%. The resulting tier distribution is reported below. All 100 PMIDs retrieved per pair are stored in the unified matrix.</w:t>
      </w:r>
    </w:p>
    <w:p w14:paraId="13FB78B6" w14:textId="77777777" w:rsidR="00EA778E" w:rsidRPr="009B500E" w:rsidRDefault="00EA778E" w:rsidP="009B500E">
      <w:pPr>
        <w:spacing w:after="0" w:line="240" w:lineRule="auto"/>
        <w:rPr>
          <w:rFonts w:asciiTheme="majorHAnsi" w:hAnsiTheme="majorHAnsi" w:cstheme="majorHAnsi"/>
          <w:b/>
          <w:szCs w:val="24"/>
        </w:rPr>
      </w:pPr>
    </w:p>
    <w:p w14:paraId="31528CF3"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Evidence Tier Distribution</w:t>
      </w:r>
    </w:p>
    <w:p w14:paraId="46F60DE9"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68806FFF"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T1 (Gold Standard), 2,864 pairs (12.7%), reflects multi-database consensus with RCDdb PMID support</w:t>
      </w:r>
    </w:p>
    <w:p w14:paraId="22556700"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T2 (Strong Evidence), 5,686 pairs (25.3%), reflects three or more independent sources or LLM-confirmed</w:t>
      </w:r>
    </w:p>
    <w:p w14:paraId="415D2AEA"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T3 (Moderate Evidence), 8,212 pairs (36.5%), reflects two sources with LLM partial confirmation</w:t>
      </w:r>
    </w:p>
    <w:p w14:paraId="2E442A87"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T4 (Weak Evidence), 5,711 pairs (25.4%), reflects single source without LLM confirmation, or LLM unable to verify</w:t>
      </w:r>
    </w:p>
    <w:p w14:paraId="08203684" w14:textId="77777777" w:rsidR="00EA778E" w:rsidRPr="009B500E" w:rsidRDefault="00EA778E" w:rsidP="009B500E">
      <w:pPr>
        <w:spacing w:after="0" w:line="240" w:lineRule="auto"/>
        <w:rPr>
          <w:rFonts w:asciiTheme="majorHAnsi" w:hAnsiTheme="majorHAnsi" w:cstheme="majorHAnsi"/>
          <w:b/>
          <w:szCs w:val="24"/>
        </w:rPr>
      </w:pPr>
    </w:p>
    <w:p w14:paraId="56D825A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Mechanistic Classification</w:t>
      </w:r>
    </w:p>
    <w:p w14:paraId="3D28ED8E"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662E266B"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MECHANISTIC, 3,063 pairs (13.6%), validated by both LLM knowledge and PubMed abstracts</w:t>
      </w:r>
    </w:p>
    <w:p w14:paraId="1384BBCD"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LITERATURE_GAP, 1,519 pairs (6.8%), LLM training recognizes but abstracts lack explicit statements</w:t>
      </w:r>
      <w:r w:rsidR="004B02F0">
        <w:rPr>
          <w:rFonts w:asciiTheme="majorHAnsi" w:hAnsiTheme="majorHAnsi" w:cstheme="majorHAnsi"/>
          <w:szCs w:val="24"/>
        </w:rPr>
        <w:t xml:space="preserve"> </w:t>
      </w:r>
      <w:r w:rsidRPr="009B500E">
        <w:rPr>
          <w:rFonts w:asciiTheme="majorHAnsi" w:hAnsiTheme="majorHAnsi" w:cstheme="majorHAnsi"/>
          <w:szCs w:val="24"/>
        </w:rPr>
        <w:br/>
        <w:t>CONTEXT_GAP, 6,170 pairs (27.5%), PubMed confirms but LLM training does not recognize</w:t>
      </w:r>
      <w:r w:rsidR="004B02F0">
        <w:rPr>
          <w:rFonts w:asciiTheme="majorHAnsi" w:hAnsiTheme="majorHAnsi" w:cstheme="majorHAnsi"/>
          <w:szCs w:val="24"/>
        </w:rPr>
        <w:t xml:space="preserve"> </w:t>
      </w:r>
      <w:r w:rsidRPr="009B500E">
        <w:rPr>
          <w:rFonts w:asciiTheme="majorHAnsi" w:hAnsiTheme="majorHAnsi" w:cstheme="majorHAnsi"/>
          <w:szCs w:val="24"/>
        </w:rPr>
        <w:br/>
        <w:t>CO_OCCURRENCE, 2,416 pairs (10.8%), high paper counts but no mechanistic evidence</w:t>
      </w:r>
      <w:r w:rsidR="004B02F0">
        <w:rPr>
          <w:rFonts w:asciiTheme="majorHAnsi" w:hAnsiTheme="majorHAnsi" w:cstheme="majorHAnsi"/>
          <w:szCs w:val="24"/>
        </w:rPr>
        <w:t xml:space="preserve"> </w:t>
      </w:r>
      <w:r w:rsidRPr="009B500E">
        <w:rPr>
          <w:rFonts w:asciiTheme="majorHAnsi" w:hAnsiTheme="majorHAnsi" w:cstheme="majorHAnsi"/>
          <w:szCs w:val="24"/>
        </w:rPr>
        <w:br/>
        <w:t>INSUFFICIENT_DATA, 8,863 pairs (39.4%), few papers; LLM cannot determine involvemen</w:t>
      </w:r>
      <w:r w:rsidR="004B02F0">
        <w:rPr>
          <w:rFonts w:asciiTheme="majorHAnsi" w:hAnsiTheme="majorHAnsi" w:cstheme="majorHAnsi"/>
          <w:szCs w:val="24"/>
        </w:rPr>
        <w:t xml:space="preserve">t </w:t>
      </w:r>
      <w:r w:rsidRPr="009B500E">
        <w:rPr>
          <w:rFonts w:asciiTheme="majorHAnsi" w:hAnsiTheme="majorHAnsi" w:cstheme="majorHAnsi"/>
          <w:szCs w:val="24"/>
        </w:rPr>
        <w:br/>
        <w:t>DATABASE_ONLY, 442 pairs (2.0%), gene and RCD term never co-occur in PubMed</w:t>
      </w:r>
      <w:r w:rsidR="004B02F0">
        <w:rPr>
          <w:rFonts w:asciiTheme="majorHAnsi" w:hAnsiTheme="majorHAnsi" w:cstheme="majorHAnsi"/>
          <w:szCs w:val="24"/>
        </w:rPr>
        <w:t xml:space="preserve"> </w:t>
      </w:r>
      <w:r w:rsidRPr="009B500E">
        <w:rPr>
          <w:rFonts w:asciiTheme="majorHAnsi" w:hAnsiTheme="majorHAnsi" w:cstheme="majorHAnsi"/>
          <w:szCs w:val="24"/>
        </w:rPr>
        <w:br/>
        <w:t>TECHNICAL_FAILURE, 0 pairs (0%), no API failures in the final run</w:t>
      </w:r>
    </w:p>
    <w:p w14:paraId="662574A6" w14:textId="77777777" w:rsidR="00EA778E" w:rsidRPr="009B500E" w:rsidRDefault="00EA778E" w:rsidP="009B500E">
      <w:pPr>
        <w:spacing w:after="0" w:line="240" w:lineRule="auto"/>
        <w:rPr>
          <w:rFonts w:asciiTheme="majorHAnsi" w:hAnsiTheme="majorHAnsi" w:cstheme="majorHAnsi"/>
          <w:szCs w:val="24"/>
        </w:rPr>
      </w:pPr>
    </w:p>
    <w:p w14:paraId="45F8E197"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Together, the seven mechanistic classes account for all 22,473 validated rows.</w:t>
      </w:r>
    </w:p>
    <w:p w14:paraId="77F33D29" w14:textId="77777777" w:rsidR="004B02F0" w:rsidRDefault="004B02F0" w:rsidP="009B500E">
      <w:pPr>
        <w:spacing w:after="0" w:line="240" w:lineRule="auto"/>
        <w:rPr>
          <w:rFonts w:asciiTheme="majorHAnsi" w:hAnsiTheme="majorHAnsi" w:cstheme="majorHAnsi"/>
          <w:szCs w:val="24"/>
        </w:rPr>
      </w:pPr>
    </w:p>
    <w:p w14:paraId="497E4FE5"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 265 regulators (155 pro-survival, 110 pro-death) and 16 executors — while 150 were literature gaps, 471 context gaps, 428 co-occurrence, 316 insufficient-data, and 185 database-only. Overall, 1,576 of the 1,832 pairs (86.0%) now carry at least one PMID.</w:t>
      </w:r>
    </w:p>
    <w:p w14:paraId="0DCBE3BA" w14:textId="77777777" w:rsidR="00EA778E" w:rsidRPr="009B500E" w:rsidRDefault="00EA778E" w:rsidP="009B500E">
      <w:pPr>
        <w:spacing w:after="0" w:line="240" w:lineRule="auto"/>
        <w:rPr>
          <w:rFonts w:asciiTheme="majorHAnsi" w:hAnsiTheme="majorHAnsi" w:cstheme="majorHAnsi"/>
          <w:b/>
          <w:szCs w:val="24"/>
        </w:rPr>
      </w:pPr>
    </w:p>
    <w:p w14:paraId="61EC20BF"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3 Benchmark Results</w:t>
      </w:r>
    </w:p>
    <w:p w14:paraId="3AB138D9"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Extraction Summary</w:t>
      </w:r>
      <w:r w:rsidRPr="009B500E">
        <w:rPr>
          <w:rFonts w:asciiTheme="majorHAnsi" w:hAnsiTheme="majorHAnsi" w:cstheme="majorHAnsi"/>
          <w:bCs/>
          <w:szCs w:val="24"/>
        </w:rPr>
        <w:t>. 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(Supplementary Table S13). The low yield for Triaptosis reflects its status as a newly named RCD form (2024) with only three genes currently recorded in the RCDome matrix and minimal published literature; this result is consistent with the form's emerging evidence grade D (the lowest of the four A-D evidence grades).</w:t>
      </w:r>
    </w:p>
    <w:p w14:paraId="3BDEA12B" w14:textId="77777777" w:rsidR="00B204AE" w:rsidRPr="009B500E" w:rsidRDefault="00B204AE" w:rsidP="009B500E">
      <w:pPr>
        <w:spacing w:after="0" w:line="240" w:lineRule="auto"/>
        <w:rPr>
          <w:rFonts w:asciiTheme="majorHAnsi" w:hAnsiTheme="majorHAnsi" w:cstheme="majorHAnsi"/>
          <w:szCs w:val="24"/>
        </w:rPr>
      </w:pPr>
    </w:p>
    <w:p w14:paraId="66D9BB45" w14:textId="77777777" w:rsidR="0019489D" w:rsidRPr="009B500E" w:rsidRDefault="00921C18" w:rsidP="009B500E">
      <w:pPr>
        <w:spacing w:after="0" w:line="240" w:lineRule="auto"/>
        <w:rPr>
          <w:rFonts w:asciiTheme="majorHAnsi" w:hAnsiTheme="majorHAnsi" w:cstheme="majorHAnsi"/>
          <w:szCs w:val="24"/>
        </w:rPr>
      </w:pPr>
      <w:r w:rsidRPr="00916CE4">
        <w:rPr>
          <w:bCs/>
          <w:i/>
        </w:rPr>
        <w:t>The raw and post-governance record counts are equal (784) because the post-export governance normalizes roles (192 EXECUTOR-to-REGULATOR downgrades) rather than removing records; zero records were rejected by the allow-list filter.</w:t>
      </w:r>
    </w:p>
    <w:p w14:paraId="49F23F4D" w14:textId="77777777" w:rsidR="00EA778E" w:rsidRPr="009B500E" w:rsidRDefault="00EA778E" w:rsidP="009B500E">
      <w:pPr>
        <w:spacing w:after="0" w:line="240" w:lineRule="auto"/>
        <w:rPr>
          <w:rFonts w:asciiTheme="majorHAnsi" w:hAnsiTheme="majorHAnsi" w:cstheme="majorHAnsi"/>
          <w:b/>
          <w:szCs w:val="24"/>
        </w:rPr>
      </w:pPr>
    </w:p>
    <w:p w14:paraId="6D7342C3" w14:textId="77777777" w:rsidR="0019489D" w:rsidRPr="009B500E" w:rsidRDefault="00921C18"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Gate Results. All five governance gates passed at their pre-registered thresholds (Supplementary Table S14).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`required_for_death`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r w:rsidRPr="009B500E">
        <w:rPr>
          <w:rFonts w:asciiTheme="majorHAnsi" w:hAnsiTheme="majorHAnsi" w:cstheme="majorHAnsi"/>
          <w:bCs/>
          <w:szCs w:val="24"/>
        </w:rPr>
      </w:r>
      <w:r w:rsidRPr="00707921">
        <w:rPr>
          <w:rFonts w:asciiTheme="majorHAnsi" w:hAnsiTheme="majorHAnsi" w:cstheme="majorHAnsi"/>
          <w:bCs/>
          <w:szCs w:val="24"/>
          <w:highlight w:val="green"/>
        </w:rPr>
      </w:r>
      <w:r w:rsidRPr="009B500E">
        <w:rPr>
          <w:rFonts w:asciiTheme="majorHAnsi" w:hAnsiTheme="majorHAnsi" w:cstheme="majorHAnsi"/>
          <w:bCs/>
          <w:szCs w:val="24"/>
        </w:rPr>
      </w:r>
    </w:p>
    <w:p w14:paraId="79D53237" w14:textId="77777777" w:rsidR="00EA778E" w:rsidRPr="009B500E" w:rsidRDefault="00EA778E" w:rsidP="009B500E">
      <w:pPr>
        <w:spacing w:after="0" w:line="240" w:lineRule="auto"/>
        <w:rPr>
          <w:rFonts w:asciiTheme="majorHAnsi" w:hAnsiTheme="majorHAnsi" w:cstheme="majorHAnsi"/>
          <w:b/>
          <w:color w:val="EE0000"/>
          <w:szCs w:val="24"/>
        </w:rPr>
      </w:pPr>
    </w:p>
    <w:p w14:paraId="02F46018"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Governance Impact.</w:t>
      </w:r>
      <w:r w:rsidRPr="009B500E">
        <w:rPr>
          <w:rFonts w:asciiTheme="majorHAnsi" w:hAnsiTheme="majorHAnsi" w:cstheme="majorHAnsi"/>
          <w:szCs w:val="24"/>
        </w:rPr>
        <w:t xml:space="preserve"> The 192 EXECUTOR downgrades (88 Ferroptosis, 104 Cuproptosis) represent the single most impactful governance action. Without the `required_for_death` validation rule, the benchmark would have reported 192 EXECUTOR claims, none of which met the NCCD criterion of demonstrable necessity for the death process. This finding is consistent with the Cuproptosis pilot audit, where 53% of EXECUTOR classifications were inflated, and validates the utility of embedding NCCD-compliant definitions directly into the extraction governance layer rather than relying on post hoc expert review.</w:t>
      </w:r>
    </w:p>
    <w:p w14:paraId="741732C9" w14:textId="77777777" w:rsidR="00707921" w:rsidRDefault="00707921" w:rsidP="009B500E">
      <w:pPr>
        <w:spacing w:after="0" w:line="240" w:lineRule="auto"/>
        <w:rPr>
          <w:rFonts w:asciiTheme="majorHAnsi" w:hAnsiTheme="majorHAnsi" w:cstheme="majorHAnsi"/>
          <w:szCs w:val="24"/>
        </w:rPr>
      </w:pPr>
    </w:p>
    <w:p w14:paraId="39044075" w14:textId="77777777" w:rsidR="0019489D" w:rsidRPr="009B500E" w:rsidRDefault="00921C18" w:rsidP="009B500E">
      <w:pPr>
        <w:spacing w:after="0" w:line="240" w:lineRule="auto"/>
        <w:rPr>
          <w:rFonts w:asciiTheme="majorHAnsi" w:hAnsiTheme="majorHAnsi" w:cstheme="majorHAnsi"/>
          <w:color w:val="EE0000"/>
          <w:szCs w:val="24"/>
        </w:rPr>
      </w:pPr>
      <w:r w:rsidRPr="00707921">
        <w:rPr>
          <w:rFonts w:asciiTheme="majorHAnsi" w:hAnsiTheme="majorHAnsi" w:cstheme="majorHAnsi"/>
          <w:b/>
          <w:bCs/>
          <w:szCs w:val="24"/>
        </w:rPr>
        <w:lastRenderedPageBreak/>
        <w:t>Scalability Assessment</w:t>
      </w:r>
      <w:r w:rsidRPr="009B500E">
        <w:rPr>
          <w:rFonts w:asciiTheme="majorHAnsi" w:hAnsiTheme="majorHAnsi" w:cstheme="majorHAnsi"/>
          <w:szCs w:val="24"/>
        </w:rPr>
        <w:t>. The benchmark extracted 784 governed records from 154 papers. Production search depth was determined empirically (see Search Depth Determination below) rather than extrapolated; the measured Ferroptosis scaling series from 50 to 1,000 results per search is reported in Supplementary Table S15. The benchmark validates the methodology for production deployment; the scaling strategy prioritizes the P1 forms (those with 100+ genes in the matrix) for full extraction, with P2 and P3 forms following as capacity allows.</w:t>
      </w:r>
    </w:p>
    <w:p w14:paraId="7329A796" w14:textId="77777777" w:rsidR="00EA778E" w:rsidRPr="009B500E" w:rsidRDefault="00EA778E" w:rsidP="009B500E">
      <w:pPr>
        <w:spacing w:after="0" w:line="240" w:lineRule="auto"/>
        <w:rPr>
          <w:rFonts w:asciiTheme="majorHAnsi" w:hAnsiTheme="majorHAnsi" w:cstheme="majorHAnsi"/>
          <w:b/>
          <w:szCs w:val="24"/>
        </w:rPr>
      </w:pPr>
    </w:p>
    <w:p w14:paraId="200F1297"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Comparison with Pre-Governance Baseline.</w:t>
      </w:r>
      <w:r w:rsidRPr="009B500E">
        <w:rPr>
          <w:rFonts w:asciiTheme="majorHAnsi" w:hAnsiTheme="majorHAnsi" w:cstheme="majorHAnsi"/>
          <w:szCs w:val="24"/>
        </w:rPr>
        <w:t xml:space="preserve"> 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required_for_death evidence, and only 24% of records had traceable PMIDs. The benchmark demonstrates that post-export governance eliminates all three failure modes simultaneously: allow-list compliance from 75.4% to 100% (+33%), EXECUTOR precision from 47% to 100% (+113%), and traceability from 24% to 98% (+310%) (Figure 2B). The governance framework does not merely improve extraction quality -- it transforms an unreliable AI extraction into a verifiable, auditable evidence pipeline.</w:t>
      </w:r>
    </w:p>
    <w:p w14:paraId="7D48F050" w14:textId="77777777" w:rsidR="00EA778E" w:rsidRPr="009B500E" w:rsidRDefault="00EA778E" w:rsidP="009B500E">
      <w:pPr>
        <w:spacing w:after="0" w:line="240" w:lineRule="auto"/>
        <w:rPr>
          <w:rFonts w:asciiTheme="majorHAnsi" w:hAnsiTheme="majorHAnsi" w:cstheme="majorHAnsi"/>
          <w:b/>
          <w:szCs w:val="24"/>
        </w:rPr>
      </w:pPr>
    </w:p>
    <w:p w14:paraId="72381583"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Search Depth Determination.</w:t>
      </w:r>
    </w:p>
    <w:p w14:paraId="6C9E2485"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09EBEBBF" w14:textId="77777777" w:rsidR="00EA778E" w:rsidRPr="009B500E" w:rsidRDefault="00EA778E" w:rsidP="009B500E">
      <w:pPr>
        <w:spacing w:after="0" w:line="240" w:lineRule="auto"/>
        <w:rPr>
          <w:rFonts w:asciiTheme="majorHAnsi" w:hAnsiTheme="majorHAnsi" w:cstheme="majorHAnsi"/>
          <w:szCs w:val="24"/>
        </w:rPr>
      </w:pPr>
    </w:p>
    <w:p w14:paraId="3ABFA161"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649ED968" w14:textId="77777777" w:rsidR="00EA778E" w:rsidRPr="009B500E" w:rsidRDefault="00EA778E" w:rsidP="009B500E">
      <w:pPr>
        <w:spacing w:after="0" w:line="240" w:lineRule="auto"/>
        <w:rPr>
          <w:rFonts w:asciiTheme="majorHAnsi" w:hAnsiTheme="majorHAnsi" w:cstheme="majorHAnsi"/>
          <w:szCs w:val="24"/>
        </w:rPr>
      </w:pPr>
    </w:p>
    <w:p w14:paraId="3D075C73"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Elicit literature-mining layer yielded 4,602 gene-RCD associations across 50 RCD forms, triaged into three evidence statuses: 3,803 genuine (each carrying a body-level verbatim sentence and a DOI, with a PMID in 98.3% of cases), 798 association_only (database-backed associations whose Elicit classification was not retained), and 1 retracted (an Elicit-only association for which full-text search found no supporting paper). Among the 3,803 genuine rows, the functional classification was dominated by regulators: REGULATOR 3,347; EXECUTOR 323; MARKER 119; UNCERTAIN 10; CANDIDATE_MODULE 3. Direction of effect </w:t>
      </w:r>
      <w:r w:rsidRPr="009B500E">
        <w:rPr>
          <w:rFonts w:asciiTheme="majorHAnsi" w:hAnsiTheme="majorHAnsi" w:cstheme="majorHAnsi"/>
          <w:szCs w:val="24"/>
        </w:rPr>
        <w:lastRenderedPageBreak/>
        <w:t>was predominantly PROMOTES (2,397) versus PROTECTS (963), with 1,392 genes required for death. Evidence type: GENETIC_PERTURBATION 2,079; EXPRESSION_CORRELATION 801; PHARMACOLOGICAL 670; CITATION_ONLY 3.</w:t>
      </w:r>
    </w:p>
    <w:p w14:paraId="5E72704E" w14:textId="77777777" w:rsidR="00EA778E" w:rsidRPr="009B500E" w:rsidRDefault="00EA778E" w:rsidP="009B500E">
      <w:pPr>
        <w:spacing w:after="0" w:line="240" w:lineRule="auto"/>
        <w:rPr>
          <w:rFonts w:asciiTheme="majorHAnsi" w:hAnsiTheme="majorHAnsi" w:cstheme="majorHAnsi"/>
          <w:szCs w:val="24"/>
        </w:rPr>
      </w:pPr>
    </w:p>
    <w:p w14:paraId="674B59F1"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2B processed 167,868 free PMC full-text articles across 21,309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and 70 context-dependent.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50C66B2F" w14:textId="77777777" w:rsidR="00EA778E" w:rsidRPr="009B500E" w:rsidRDefault="00EA778E" w:rsidP="009B500E">
      <w:pPr>
        <w:spacing w:after="0" w:line="240" w:lineRule="auto"/>
        <w:rPr>
          <w:rFonts w:asciiTheme="majorHAnsi" w:hAnsiTheme="majorHAnsi" w:cstheme="majorHAnsi"/>
          <w:szCs w:val="24"/>
        </w:rPr>
      </w:pPr>
    </w:p>
    <w:p w14:paraId="670AD4D8"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2C full-text Europe PMC recovery added 3,058 MECHANISTIC classifications, in addition to the 3,063 MECHANISTIC pairs from Phase 2A/D abstract validation.</w:t>
      </w:r>
    </w:p>
    <w:p w14:paraId="25945C74"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921 unique full-text papers in the deep layer versus 8,253 PMIDs and 9,145 DOIs in the Elicit layer, totaling 18,300 unique papers. Only 19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47AB9CE4" w14:textId="77777777" w:rsidR="00EA778E" w:rsidRPr="009B500E" w:rsidRDefault="00EA778E" w:rsidP="009B500E">
      <w:pPr>
        <w:spacing w:after="0" w:line="240" w:lineRule="auto"/>
        <w:rPr>
          <w:rFonts w:asciiTheme="majorHAnsi" w:hAnsiTheme="majorHAnsi" w:cstheme="majorHAnsi"/>
          <w:szCs w:val="24"/>
        </w:rPr>
      </w:pPr>
    </w:p>
    <w:p w14:paraId="1DAEAD00"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four-fold enrichment of strong-tier and a two-fold enrichment of mechanistic pairs relative to the compendium as a whole.</w:t>
      </w:r>
    </w:p>
    <w:p w14:paraId="512F8821" w14:textId="77777777" w:rsidR="00EA778E" w:rsidRPr="009B500E" w:rsidRDefault="00EA778E" w:rsidP="009B500E">
      <w:pPr>
        <w:spacing w:after="0" w:line="240" w:lineRule="auto"/>
        <w:rPr>
          <w:rFonts w:asciiTheme="majorHAnsi" w:hAnsiTheme="majorHAnsi" w:cstheme="majorHAnsi"/>
          <w:szCs w:val="24"/>
        </w:rPr>
      </w:pPr>
    </w:p>
    <w:p w14:paraId="27863D7F" w14:textId="77777777" w:rsidR="002E19E0" w:rsidRPr="009B500E" w:rsidRDefault="00921C18" w:rsidP="009B500E">
      <w:pPr>
        <w:spacing w:after="0" w:line="240" w:lineRule="auto"/>
        <w:rPr>
          <w:rFonts w:asciiTheme="majorHAnsi" w:hAnsiTheme="majorHAnsi" w:cstheme="majorHAnsi"/>
          <w:color w:val="EE0000"/>
          <w:szCs w:val="24"/>
        </w:rPr>
      </w:pPr>
      <w:r w:rsidRPr="009B500E">
        <w:rPr>
          <w:rFonts w:asciiTheme="majorHAnsi" w:hAnsiTheme="majorHAnsi" w:cstheme="majorHAnsi"/>
          <w:b/>
          <w:bCs/>
          <w:szCs w:val="24"/>
        </w:rPr>
        <w:t>Governance Literature Survey Results</w:t>
      </w:r>
      <w:r w:rsidRPr="009B500E">
        <w:rPr>
          <w:rFonts w:asciiTheme="majorHAnsi" w:hAnsiTheme="majorHAnsi" w:cstheme="majorHAnsi"/>
          <w:szCs w:val="24"/>
        </w:rPr>
        <w:t xml:space="preserve">. The survey recovered 27,852 verbatim-anchored items from 1,308 papers, synthesized into 419 themes, of which 255 were AI-governance, 71 human-clinical (excluded), and 93 ambiguous. The AI-relevant literature converged on five recurring principles — evaluation and benchmarking, detection and mitigation, human oversight and accountability, transparency and explainability, and ethics and regulation — all </w:t>
      </w:r>
      <w:r w:rsidRPr="009B500E">
        <w:rPr>
          <w:rFonts w:asciiTheme="majorHAnsi" w:hAnsiTheme="majorHAnsi" w:cstheme="majorHAnsi"/>
          <w:szCs w:val="24"/>
        </w:rPr>
        <w:lastRenderedPageBreak/>
        <w:t>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63F1ED01" w14:textId="77777777" w:rsidR="00EA778E" w:rsidRPr="009B500E" w:rsidRDefault="00EA778E" w:rsidP="009B500E">
      <w:pPr>
        <w:spacing w:after="0" w:line="240" w:lineRule="auto"/>
        <w:rPr>
          <w:rFonts w:asciiTheme="majorHAnsi" w:hAnsiTheme="majorHAnsi" w:cstheme="majorHAnsi"/>
          <w:szCs w:val="24"/>
        </w:rPr>
      </w:pPr>
    </w:p>
    <w:p w14:paraId="531E1E39" w14:textId="77777777" w:rsidR="002E19E0" w:rsidRPr="009B500E" w:rsidRDefault="00921C18" w:rsidP="009B500E">
      <w:pPr>
        <w:spacing w:after="0" w:line="240" w:lineRule="auto"/>
        <w:rPr>
          <w:rFonts w:asciiTheme="majorHAnsi" w:hAnsiTheme="majorHAnsi" w:cstheme="majorHAnsi"/>
          <w:color w:val="EE0000"/>
          <w:szCs w:val="24"/>
        </w:rPr>
      </w:pPr>
      <w:r w:rsidRPr="009B500E">
        <w:rPr>
          <w:rFonts w:asciiTheme="majorHAnsi" w:hAnsiTheme="majorHAnsi" w:cstheme="majorHAnsi"/>
          <w:b/>
          <w:bCs/>
          <w:szCs w:val="24"/>
        </w:rPr>
        <w:t xml:space="preserve">Model-selection benchmark. </w:t>
      </w:r>
      <w:r w:rsidRPr="009B500E">
        <w:rPr>
          <w:rFonts w:asciiTheme="majorHAnsi" w:hAnsiTheme="majorHAnsi" w:cstheme="majorHAnsi"/>
          <w:szCs w:val="24"/>
        </w:rPr>
        <w:t>To select the functional-role classifier, three models were benchmarked on 26 well-established gene-RCD pairs (10 executors, 8 regulators, and 8 negative controls): the baseline deepseek-chat (81% combined accuracy, 38% false positives) and chain-of-thought deepseek-reasoner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22K-pair matrix. Structured-output mode (guaranteed JSON) was also adopted across the extraction pipeline to eliminate parsing failures.</w:t>
      </w:r>
    </w:p>
    <w:p w14:paraId="457A48E6" w14:textId="77777777" w:rsidR="00EA778E" w:rsidRPr="009B500E" w:rsidRDefault="00EA778E" w:rsidP="009B500E">
      <w:pPr>
        <w:spacing w:after="0" w:line="240" w:lineRule="auto"/>
        <w:rPr>
          <w:rFonts w:asciiTheme="majorHAnsi" w:hAnsiTheme="majorHAnsi" w:cstheme="majorHAnsi"/>
          <w:b/>
          <w:color w:val="EE0000"/>
          <w:szCs w:val="24"/>
        </w:rPr>
      </w:pPr>
    </w:p>
    <w:p w14:paraId="7F4B715F"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Chain-of-Thought Classification of the Full Matrix</w:t>
      </w:r>
    </w:p>
    <w:p w14:paraId="0C495734"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Chain-of-thought </w:t>
      </w:r>
      <w:r w:rsidR="00B930D3">
        <w:rPr>
          <w:rFonts w:asciiTheme="majorHAnsi" w:hAnsiTheme="majorHAnsi" w:cstheme="majorHAnsi"/>
          <w:szCs w:val="24"/>
        </w:rPr>
        <w:t xml:space="preserve">(CoT) </w:t>
      </w:r>
      <w:r w:rsidRPr="009B500E">
        <w:rPr>
          <w:rFonts w:asciiTheme="majorHAnsi" w:hAnsiTheme="majorHAnsi" w:cstheme="majorHAnsi"/>
          <w:szCs w:val="24"/>
        </w:rPr>
        <w:t xml:space="preserve">classification was applied to the complete matrix to add a mechanistic verdict, functional role, and direction to every </w:t>
      </w:r>
      <w:r w:rsidR="00705A6F">
        <w:rPr>
          <w:rFonts w:asciiTheme="majorHAnsi" w:hAnsiTheme="majorHAnsi" w:cstheme="majorHAnsi"/>
          <w:szCs w:val="24"/>
        </w:rPr>
        <w:t>gene-RCD</w:t>
      </w:r>
      <w:r w:rsidRPr="009B500E">
        <w:rPr>
          <w:rFonts w:asciiTheme="majorHAnsi" w:hAnsiTheme="majorHAnsi" w:cstheme="majorHAnsi"/>
          <w:szCs w:val="24"/>
        </w:rPr>
        <w:t xml:space="preserve"> pair — information the two-call binary validation (Phase 2A/D) and the full-text recovery phases did not capture uniformly. Rather than a single model answer, each pair received three independent chain-of-thought classifications with a self-governance check (verify-role), merged by majority vote, so that one inconsistent sample could not dominate the final verdict.</w:t>
      </w:r>
    </w:p>
    <w:p w14:paraId="74A32BF2" w14:textId="77777777" w:rsidR="00871F46" w:rsidRPr="009B500E" w:rsidRDefault="00871F46" w:rsidP="009B500E">
      <w:pPr>
        <w:spacing w:after="0" w:line="240" w:lineRule="auto"/>
        <w:rPr>
          <w:rFonts w:asciiTheme="majorHAnsi" w:hAnsiTheme="majorHAnsi" w:cstheme="majorHAnsi"/>
          <w:szCs w:val="24"/>
        </w:rPr>
      </w:pPr>
    </w:p>
    <w:p w14:paraId="32D9DCC0"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Of the 21,568 unique gene-RCD pairs, 10,016 (46.4%) were classified as mechanistically involved (YES) and 11,552 (53.6%) as not mechanistically involved (NO). Among the mechanistically-involved pairs, 469 (4.7%) were executors — genes that directly execute the death pathway — and 9,489 (94.7%) were regulators that promote or inhibit it. Across the 21,568 unique gene-RCD pairs, roles resolved as 9,489 regulators, 469 executors, 5 markers, and 11,605 with an unresolved role; direction (across all role-resolved associations) resolved as PROMOTES for 5,070, PROTECTS for 4,755, and UNCLEAR for 11,743 — a near-even pro-death versus anti-death balance. Overall, 5,928 of 9,265 genes (64.0%) had at least one mechanistically-involved association. Classification yield varied markedly by source database: the fraction of associations classified as mechanistically involved ranged from 21.7% (XDeathDB) to 90.0% (ncFO) (Supplementary Figure S2).</w:t>
      </w:r>
      <w:r w:rsidR="00705A6F">
        <w:rPr>
          <w:rFonts w:asciiTheme="majorHAnsi" w:hAnsiTheme="majorHAnsi" w:cstheme="majorHAnsi"/>
          <w:szCs w:val="24"/>
        </w:rPr>
      </w:r>
      <w:r w:rsidRPr="009B500E">
        <w:rPr>
          <w:rFonts w:asciiTheme="majorHAnsi" w:hAnsiTheme="majorHAnsi" w:cstheme="majorHAnsi"/>
          <w:szCs w:val="24"/>
        </w:rPr>
      </w:r>
      <w:r w:rsidRPr="000C564C">
        <w:rPr>
          <w:rFonts w:asciiTheme="majorHAnsi" w:hAnsiTheme="majorHAnsi" w:cstheme="majorHAnsi"/>
          <w:szCs w:val="24"/>
          <w:highlight w:val="green"/>
        </w:rPr>
      </w:r>
    </w:p>
    <w:p w14:paraId="6AF672B6" w14:textId="77777777" w:rsidR="004B02F0" w:rsidRDefault="004B02F0" w:rsidP="009B500E">
      <w:pPr>
        <w:spacing w:after="0" w:line="240" w:lineRule="auto"/>
        <w:rPr>
          <w:rFonts w:asciiTheme="majorHAnsi" w:hAnsiTheme="majorHAnsi" w:cstheme="majorHAnsi"/>
          <w:szCs w:val="24"/>
        </w:rPr>
      </w:pPr>
    </w:p>
    <w:p w14:paraId="0B9B9C78"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classification was internally audited: 84 self-inconsistent rows (mechanistic NO with a confident role or direction) were repaired, and 231 rows with genuine uncertainty — 178 regulators with unclear direction and 53 mechanistically-involved pairs with unresolved role — were retained as honest uncertainty rather than forced into a confident category. Two </w:t>
      </w:r>
      <w:r w:rsidR="00705A6F">
        <w:rPr>
          <w:rFonts w:asciiTheme="majorHAnsi" w:hAnsiTheme="majorHAnsi" w:cstheme="majorHAnsi"/>
          <w:szCs w:val="24"/>
        </w:rPr>
        <w:lastRenderedPageBreak/>
        <w:t>gene-RCD</w:t>
      </w:r>
      <w:r w:rsidRPr="009B500E">
        <w:rPr>
          <w:rFonts w:asciiTheme="majorHAnsi" w:hAnsiTheme="majorHAnsi" w:cstheme="majorHAnsi"/>
          <w:szCs w:val="24"/>
        </w:rPr>
        <w:t xml:space="preserve"> pairs (</w:t>
      </w:r>
      <w:r w:rsidRPr="000C564C">
        <w:rPr>
          <w:rFonts w:asciiTheme="majorHAnsi" w:hAnsiTheme="majorHAnsi" w:cstheme="majorHAnsi"/>
          <w:i/>
          <w:iCs/>
          <w:szCs w:val="24"/>
        </w:rPr>
        <w:t>NLRX1</w:t>
      </w:r>
      <w:r w:rsidRPr="009B500E">
        <w:rPr>
          <w:rFonts w:asciiTheme="majorHAnsi" w:hAnsiTheme="majorHAnsi" w:cstheme="majorHAnsi"/>
          <w:szCs w:val="24"/>
        </w:rPr>
        <w:t xml:space="preserve"> and </w:t>
      </w:r>
      <w:r w:rsidRPr="000C564C">
        <w:rPr>
          <w:rFonts w:asciiTheme="majorHAnsi" w:hAnsiTheme="majorHAnsi" w:cstheme="majorHAnsi"/>
          <w:i/>
          <w:iCs/>
          <w:szCs w:val="24"/>
        </w:rPr>
        <w:t>PPIF</w:t>
      </w:r>
      <w:r w:rsidRPr="009B500E">
        <w:rPr>
          <w:rFonts w:asciiTheme="majorHAnsi" w:hAnsiTheme="majorHAnsi" w:cstheme="majorHAnsi"/>
          <w:szCs w:val="24"/>
        </w:rPr>
        <w:t xml:space="preserve"> with MPT-driven necrosis) were classified separately with a five-vote majority, completing full pair coverage (21,568/21,568).</w:t>
      </w:r>
    </w:p>
    <w:p w14:paraId="6BCE4DE1" w14:textId="77777777" w:rsidR="00871F46" w:rsidRPr="009B500E" w:rsidRDefault="00871F46" w:rsidP="009B500E">
      <w:pPr>
        <w:spacing w:after="0" w:line="240" w:lineRule="auto"/>
        <w:rPr>
          <w:rFonts w:asciiTheme="majorHAnsi" w:hAnsiTheme="majorHAnsi" w:cstheme="majorHAnsi"/>
          <w:b/>
          <w:color w:val="EE0000"/>
          <w:szCs w:val="24"/>
        </w:rPr>
      </w:pPr>
    </w:p>
    <w:p w14:paraId="648EA9F8"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RCDome Web Application</w:t>
      </w:r>
    </w:p>
    <w:p w14:paraId="501B8B66" w14:textId="77777777" w:rsidR="00D11423"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compendium is exposed through RCDome, a Shiny web application with a multi-layer navigation. The Home page renders the atlas as a girded-cupola dome — 53 entity nodes colored by ontological level (L1 gold through L5 orange) along the rim, with a gene constellation beneath — surrounded by seven module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r>
        <w:t>The dome is the visual signature of the platform: its cupola rim carries the 53 canonicalized RCD-related entities as nodes colored by their adjudicated ontological level — L1 modalities (16, gold), L2 subtypes (6, blue), L3 triggers (2, green), L4 Functional/contextual (11, purple), and L5 Generic/umbrella/legacy/taxon/emerging (18, orange) — over a constellation of the 9,265 HGNC-validated genes. This color-coding makes the ontology’s core claim visible at a glance: only 16 of the 53 entities are bona fide RCD modalities; the remaining 37 are subtypes, triggers, contextual programs, or umbrella concepts, and their level color encodes that distinction.</w:t>
      </w:r>
    </w:p>
    <w:p w14:paraId="4BBFAF01" w14:textId="77777777" w:rsidR="00D11423" w:rsidRDefault="00D11423" w:rsidP="009B500E">
      <w:pPr>
        <w:spacing w:after="0" w:line="240" w:lineRule="auto"/>
        <w:rPr>
          <w:rFonts w:asciiTheme="majorHAnsi" w:hAnsiTheme="majorHAnsi" w:cstheme="majorHAnsi"/>
          <w:szCs w:val="24"/>
        </w:rPr>
      </w:pPr>
    </w:p>
    <w:p w14:paraId="13A9A93C"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application source code and compendium are available at </w:t>
      </w:r>
      <w:hyperlink r:id="rId45" w:history="1">
        <w:r w:rsidR="00D11423" w:rsidRPr="001F557B">
          <w:rPr>
            <w:rStyle w:val="Hyperlink"/>
            <w:rFonts w:asciiTheme="majorHAnsi" w:hAnsiTheme="majorHAnsi" w:cstheme="majorHAnsi"/>
            <w:szCs w:val="24"/>
          </w:rPr>
          <w:t>https://github.com/BioCancerInformatics/RCDome</w:t>
        </w:r>
      </w:hyperlink>
      <w:r w:rsidRPr="009B500E">
        <w:rPr>
          <w:rFonts w:asciiTheme="majorHAnsi" w:hAnsiTheme="majorHAnsi" w:cstheme="majorHAnsi"/>
          <w:szCs w:val="24"/>
        </w:rPr>
        <w:t>.</w:t>
      </w:r>
      <w:r w:rsidR="00D11423">
        <w:rPr>
          <w:rFonts w:asciiTheme="majorHAnsi" w:hAnsiTheme="majorHAnsi" w:cstheme="majorHAnsi"/>
          <w:szCs w:val="24"/>
        </w:rPr>
        <w:t xml:space="preserve"> </w:t>
      </w:r>
      <w:r w:rsidRPr="009B500E">
        <w:rPr>
          <w:rFonts w:asciiTheme="majorHAnsi" w:hAnsiTheme="majorHAnsi" w:cstheme="majorHAnsi"/>
          <w:szCs w:val="24"/>
        </w:rPr>
        <w:t xml:space="preserve">The </w:t>
      </w:r>
      <w:r w:rsidRPr="00D11423">
        <w:rPr>
          <w:rFonts w:asciiTheme="majorHAnsi" w:hAnsiTheme="majorHAnsi" w:cstheme="majorHAnsi"/>
          <w:i/>
          <w:iCs/>
          <w:szCs w:val="24"/>
        </w:rPr>
        <w:t>Gene Catalog</w:t>
      </w:r>
      <w:r w:rsidRPr="009B500E">
        <w:rPr>
          <w:rFonts w:asciiTheme="majorHAnsi" w:hAnsiTheme="majorHAnsi" w:cstheme="majorHAnsi"/>
          <w:szCs w:val="24"/>
        </w:rPr>
        <w:t xml:space="preserve"> module exposes the complete 22,473-row × 71-column matrix (</w:t>
      </w:r>
      <w:r w:rsidRPr="00D11423">
        <w:rPr>
          <w:rFonts w:asciiTheme="majorHAnsi" w:hAnsiTheme="majorHAnsi" w:cstheme="majorHAnsi"/>
          <w:szCs w:val="24"/>
          <w:highlight w:val="green"/>
        </w:rPr>
        <w:t>Database S1</w:t>
      </w:r>
      <w:r w:rsidRPr="009B500E">
        <w:rPr>
          <w:rFonts w:asciiTheme="majorHAnsi" w:hAnsiTheme="majorHAnsi" w:cstheme="majorHAnsi"/>
          <w:szCs w:val="24"/>
        </w:rPr>
        <w:t>) as a filterable, sortable table with nine columns — gene, biotype, RCD entity, cancer gene, confidence tier, mechanistic, role, direction, and source databases — and a Direction/Role source selector that switches the displayed annotation between the DeepSeek chain-of-thought classification and the Elicit extraction.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p>
    <w:p w14:paraId="6ECE1D8A" w14:textId="77777777" w:rsidR="004B02F0" w:rsidRDefault="004B02F0" w:rsidP="009B500E">
      <w:pPr>
        <w:spacing w:after="0" w:line="240" w:lineRule="auto"/>
        <w:rPr>
          <w:rFonts w:asciiTheme="majorHAnsi" w:hAnsiTheme="majorHAnsi" w:cstheme="majorHAnsi"/>
          <w:szCs w:val="24"/>
        </w:rPr>
      </w:pPr>
    </w:p>
    <w:p w14:paraId="7450208E"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seven modules — Compendium Browser, Gene-Centric Explorer, Pathway Diagrams, Literature Consultation, Definition Comparator, Discovery Timeline, and Integration Toolkit — are exposed as cards on the Home page, with the interactive dome as the primary entry point.</w:t>
      </w:r>
    </w:p>
    <w:p w14:paraId="40FDD74E" w14:textId="77777777" w:rsidR="004B02F0" w:rsidRDefault="004B02F0" w:rsidP="009B500E">
      <w:pPr>
        <w:spacing w:after="0" w:line="240" w:lineRule="auto"/>
        <w:rPr>
          <w:rFonts w:asciiTheme="majorHAnsi" w:hAnsiTheme="majorHAnsi" w:cstheme="majorHAnsi"/>
          <w:szCs w:val="24"/>
        </w:rPr>
      </w:pPr>
    </w:p>
    <w:p w14:paraId="65399E94"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application was built iteratively with AI assistance (DeepSeek and Consensus classification, AI-generated pathway figures and descriptions) under the governance rules described in the Methods. Every value exposed in the interface was verified against the compendium matrix (Knock Test), and every AI-generated element is traceable to its source. Detailed AI usage, token, runtime, and cost figures for every AI-assisted phase are reported in Supplementary Note S5 (AI usage, tokens, and cost).</w:t>
      </w:r>
      <w:r/>
    </w:p>
    <w:p w14:paraId="6E858C66" w14:textId="77777777" w:rsidR="000B2C2A" w:rsidRPr="009B500E" w:rsidRDefault="000B2C2A" w:rsidP="009B500E">
      <w:pPr>
        <w:spacing w:after="0" w:line="240" w:lineRule="auto"/>
        <w:rPr>
          <w:rFonts w:asciiTheme="majorHAnsi" w:hAnsiTheme="majorHAnsi" w:cstheme="majorHAnsi"/>
          <w:b/>
          <w:szCs w:val="24"/>
        </w:rPr>
      </w:pPr>
    </w:p>
    <w:p w14:paraId="14680FD5" w14:textId="77777777" w:rsidR="00B04B4F" w:rsidRDefault="00000000">
      <w: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(Supplementary Note S6) validated the board at 100% golden accuracy, 100% census accuracy, 100% fact-stability, a 0.047% governance violation rate, and 98.7% articulation conformity; a two-test Q&amp;A benchmark (n = 100 per test) validated the Q&amp;A at 100% positive accuracy and 100% negative controls, Wilson 95% CI 96.3–100%, two-sided binomial p = 0.010.</w:t>
      </w:r>
      <w:r/>
    </w:p>
    <w:p w14:paraId="77340BB5"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Practical utility of the web application</w:t>
      </w:r>
    </w:p>
    <w:p w14:paraId="22B21AD6"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interface is built for extraction as much as for browsing. A Direction/Role source selector switches the displayed annotation between the DeepSeek chain-of-thought classification and the Elicit extraction, so a researcher can compare the two analyses side by side without conflating them. Four download buttons export the filtered gene table, the complete 71-column matrix, the per-entity comparison (Elicit versus DeepSeek executor and regulator counts for all 53 entities), and the death core — the 469 executor pairs, exported with full provenance columns. Every association PMID resolves to a verified article title (all 10,141 curated titles matched exactly against PubMed), and each row carries its source databases, evidence tier, and per-analysis verdicts. In practice, a researcher can, in a single session, filter to a mechanism of interest, download the underlying matrix, and trace any claim back to its original database or publication.</w:t>
      </w:r>
    </w:p>
    <w:p w14:paraId="25BC55CA" w14:textId="77777777" w:rsidR="000B2C2A" w:rsidRPr="009B500E" w:rsidRDefault="000B2C2A" w:rsidP="009B500E">
      <w:pPr>
        <w:spacing w:after="0" w:line="240" w:lineRule="auto"/>
        <w:rPr>
          <w:rFonts w:asciiTheme="majorHAnsi" w:hAnsiTheme="majorHAnsi" w:cstheme="majorHAnsi"/>
          <w:b/>
          <w:color w:val="EE0000"/>
          <w:szCs w:val="24"/>
        </w:rPr>
      </w:pPr>
    </w:p>
    <w:p w14:paraId="4533FC40" w14:textId="77777777" w:rsidR="002E19E0" w:rsidRPr="00CC1DA5" w:rsidRDefault="00921C18" w:rsidP="009B500E">
      <w:pPr>
        <w:spacing w:after="0" w:line="240" w:lineRule="auto"/>
        <w:rPr>
          <w:rFonts w:asciiTheme="majorHAnsi" w:hAnsiTheme="majorHAnsi" w:cstheme="majorHAnsi"/>
          <w:color w:val="EE0000"/>
          <w:szCs w:val="24"/>
          <w:highlight w:val="yellow"/>
        </w:rPr>
      </w:pPr>
      <w:r w:rsidRPr="00CC1DA5">
        <w:rPr>
          <w:rFonts w:asciiTheme="majorHAnsi" w:hAnsiTheme="majorHAnsi" w:cstheme="majorHAnsi"/>
          <w:b/>
          <w:color w:val="EE0000"/>
          <w:szCs w:val="24"/>
          <w:highlight w:val="yellow"/>
        </w:rPr>
        <w:t>Pending Work</w:t>
      </w:r>
    </w:p>
    <w:p w14:paraId="7661033B" w14:textId="77777777" w:rsidR="002E19E0" w:rsidRPr="009B500E" w:rsidRDefault="002E19E0" w:rsidP="009B500E">
      <w:pPr>
        <w:spacing w:after="0" w:line="240" w:lineRule="auto"/>
        <w:rPr>
          <w:rFonts w:asciiTheme="majorHAnsi" w:hAnsiTheme="majorHAnsi" w:cstheme="majorHAnsi"/>
          <w:color w:val="EE0000"/>
          <w:szCs w:val="24"/>
        </w:rPr>
      </w:pPr>
      <w:r w:rsidRPr="00CC1DA5">
        <w:rPr>
          <w:rFonts w:asciiTheme="majorHAnsi" w:hAnsiTheme="majorHAnsi" w:cstheme="majorHAnsi"/>
          <w:color w:val="EE0000"/>
          <w:szCs w:val="24"/>
          <w:highlight w:val="yellow"/>
        </w:rPr>
        <w:t>The compendium and validation pipeline reported here constitute a living platform. The six gene symbols renamed during matrix consolidation (IL1RL1 to IL33R, AATK to LMTK1, TNFAIP8L1 to TIPE1, TNFAIP8L2 to TIPE2, TNFAIP8L3 to TIPE3, ENSG00000274276 to CBSL) were reconciled in the chain-of-thought validation results, and the two newly added MPT-driven necrosis gene associations (NLRX1 and PPIF) were classified through the same pipeline. The RCD entities module presents all 53 RCD-related entities through the decoder; the RCDchat literature-consultation module and the Network module are implemented and being refined.</w:t>
      </w:r>
    </w:p>
    <w:p w14:paraId="02C5E26D" w14:textId="77777777" w:rsidR="00EA778E" w:rsidRPr="009B500E" w:rsidRDefault="00EA778E" w:rsidP="009B500E">
      <w:pPr>
        <w:pStyle w:val="Ttulo2"/>
        <w:spacing w:before="0" w:line="240" w:lineRule="auto"/>
        <w:rPr>
          <w:rFonts w:cstheme="majorHAnsi"/>
          <w:sz w:val="24"/>
          <w:szCs w:val="24"/>
        </w:rPr>
      </w:pPr>
    </w:p>
    <w:p w14:paraId="7C8C29F7" w14:textId="77777777" w:rsidR="00925876" w:rsidRPr="009B500E" w:rsidRDefault="00921C18" w:rsidP="009B500E">
      <w:pPr>
        <w:pStyle w:val="Ttulo2"/>
        <w:spacing w:before="0" w:line="240" w:lineRule="auto"/>
        <w:rPr>
          <w:rFonts w:cstheme="majorHAnsi"/>
          <w:sz w:val="24"/>
          <w:szCs w:val="24"/>
        </w:rPr>
      </w:pPr>
      <w:r w:rsidRPr="009B500E">
        <w:rPr>
          <w:rFonts w:cstheme="majorHAnsi"/>
          <w:sz w:val="24"/>
          <w:szCs w:val="24"/>
        </w:rPr>
        <w:t>DISCUSSION</w:t>
      </w:r>
    </w:p>
    <w:p w14:paraId="2832D5A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RCDome was built to answer a single question: “Where did this gene-RCD association come from, and what is the evidence?” Every architectural decision follows from that question. The four-channel compilation architecture ensures that no single source type dominates: Channel A (PubMed Boolean) maximizes recall, Channel B (curated databases) provides precision, Channel C (AI-assisted screening) captures recent discoveries, and Channel D (manual curation) serves as the ultimate arbiter. The two-call independent LLM validation architecture prevents any single model from biasing the verification: one call draws on internal knowledge, the other on PubMed abstracts, and only concordance between them yields a CONFIRMED classification. The five-criteria RCD form admission framework ensures that the controlled vocabulary is not merely a list of terms encountered in the literature but a set of mechanistically distinguishable entities. Every design choice was made to maximize one thing: traceability.</w:t>
      </w:r>
    </w:p>
    <w:p w14:paraId="413C42D0" w14:textId="77777777" w:rsidR="00EA778E" w:rsidRPr="009B500E" w:rsidRDefault="00EA778E" w:rsidP="009B500E">
      <w:pPr>
        <w:spacing w:after="0" w:line="240" w:lineRule="auto"/>
        <w:rPr>
          <w:rFonts w:asciiTheme="majorHAnsi" w:hAnsiTheme="majorHAnsi" w:cstheme="majorHAnsi"/>
          <w:szCs w:val="24"/>
        </w:rPr>
      </w:pPr>
    </w:p>
    <w:p w14:paraId="3FDBEDC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ontology_curator_verified flag was set to TRUE for all 53 entities following bulk human approval (logged 2026-09-05). Automated quality filters exclude non-HGNC symbols and </w:t>
      </w:r>
      <w:r w:rsidRPr="009B500E">
        <w:rPr>
          <w:rFonts w:asciiTheme="majorHAnsi" w:hAnsiTheme="majorHAnsi" w:cstheme="majorHAnsi"/>
          <w:szCs w:val="24"/>
        </w:rPr>
        <w:lastRenderedPageBreak/>
        <w:t>NCBI Gene keyword-only associations following a spot audit that revealed zero overlap with known RCD executioner and regulator genes — a decision that removed 10,857 rows but protected the compendium from systematic noise. Governance, in RCDome, is not a statement of values; it is executable code.</w:t>
      </w:r>
    </w:p>
    <w:p w14:paraId="733E627B" w14:textId="77777777" w:rsidR="00EA778E" w:rsidRPr="009B500E" w:rsidRDefault="00EA778E" w:rsidP="009B500E">
      <w:pPr>
        <w:spacing w:after="0" w:line="240" w:lineRule="auto"/>
        <w:rPr>
          <w:rFonts w:asciiTheme="majorHAnsi" w:hAnsiTheme="majorHAnsi" w:cstheme="majorHAnsi"/>
          <w:szCs w:val="24"/>
        </w:rPr>
      </w:pPr>
    </w:p>
    <w:p w14:paraId="3B54EB71" w14:textId="77777777" w:rsidR="00463DD3"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RCDome compendium is a diagnostic of the field, and several findings took us by surprise. The sheer number of RCD entities — 53 RCD-related entities consolidated from 62 original name strings — was not something we anticipated when this project began. The list includes 16 bona fide RCD modalities, but also subtypes, trigger events, functional/contextual categories, and generic/umbrella/legacy/taxon/emerging concepts. Regulated cell death is far more diverse than the textbooks suggest, and the vocabulary continues to expand. </w:t>
      </w:r>
    </w:p>
    <w:p w14:paraId="43D9111D" w14:textId="77777777" w:rsidR="00463DD3" w:rsidRDefault="00463DD3" w:rsidP="009B500E">
      <w:pPr>
        <w:spacing w:after="0" w:line="240" w:lineRule="auto"/>
        <w:rPr>
          <w:rFonts w:asciiTheme="majorHAnsi" w:hAnsiTheme="majorHAnsi" w:cstheme="majorHAnsi"/>
          <w:szCs w:val="24"/>
        </w:rPr>
      </w:pPr>
    </w:p>
    <w:p w14:paraId="79724ED0"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disparity in gene coverage is striking. Apoptosis accounts for 6,229 entries. Pyronecrosis has one. This is not a flaw in the compilation; it is a map of where research effort has been concentrated. Apoptosis has been studied for over fifty years. Several of the most recently described forms are known from a single discovery paper. The compendium makes this imbalance explicit, and it is sobering. The mechanistic classification produced an even more sobering result. Of the 22,473 gene-RCD associations, only 3,063 (13.6% of the 22,473 validated rows) are MECHANISTIC — meaning both LLM knowledge and PubMed abstract evidence support a functional role. For the remaining 86.3% of validated rows, the literature is either insufficient, ambiguous, or silent. A further 2,416 pairs (10.8%) reflect CO_OCCURRENCE: the gene and RCD term appear together in published articles, but without evidence of a functional relationship. For 8,863 pairs (39.4%), the literature is simply insufficient to determine the nature of the association. An additional 1,519 pairs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442 pairs (2.0%) are classified as DATABASE_ONLY. These are gene-RCD associations contributed by 10 independent curated databases for which no supporting PMID was found in any indexed literature source — despite exhaustive search via NCBI PubMed, Europe PMC full-text recovery, and a targeted DeepSeek LLM campaign. They represent the irreducible uncertainty of the compendium: knowledge that has entered the database ecosystem without a verifiable paper trail by our analysis. They are flagged for expert manual review. Taken together, these findings suggest that the RCD field has outgrown its information infrastructure. Databases have accumulated associations faster than the literature has verified them. RCDome does not solve this problem — but it makes it quantitatively measurable.</w:t>
      </w:r>
      <w:r w:rsidR="00897A3F">
        <w:rPr>
          <w:rFonts w:asciiTheme="majorHAnsi" w:hAnsiTheme="majorHAnsi" w:cstheme="majorHAnsi"/>
          <w:szCs w:val="24"/>
        </w:rPr>
      </w:r>
      <w:r w:rsidRPr="009B500E">
        <w:rPr>
          <w:rFonts w:asciiTheme="majorHAnsi" w:hAnsiTheme="majorHAnsi" w:cstheme="majorHAnsi"/>
          <w:szCs w:val="24"/>
        </w:rPr>
      </w:r>
    </w:p>
    <w:p w14:paraId="31467421" w14:textId="77777777" w:rsidR="00EA778E" w:rsidRPr="009B500E" w:rsidRDefault="00EA778E" w:rsidP="009B500E">
      <w:pPr>
        <w:spacing w:after="0" w:line="240" w:lineRule="auto"/>
        <w:rPr>
          <w:rFonts w:asciiTheme="majorHAnsi" w:hAnsiTheme="majorHAnsi" w:cstheme="majorHAnsi"/>
          <w:szCs w:val="24"/>
        </w:rPr>
      </w:pPr>
    </w:p>
    <w:p w14:paraId="76E1E57C" w14:textId="77777777" w:rsidR="00897A3F"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 62 original name strings across 20 resources —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532DBB89" w14:textId="77777777" w:rsidR="00897A3F" w:rsidRDefault="00897A3F" w:rsidP="009B500E">
      <w:pPr>
        <w:spacing w:after="0" w:line="240" w:lineRule="auto"/>
        <w:rPr>
          <w:rFonts w:asciiTheme="majorHAnsi" w:hAnsiTheme="majorHAnsi" w:cstheme="majorHAnsi"/>
          <w:szCs w:val="24"/>
        </w:rPr>
      </w:pPr>
    </w:p>
    <w:p w14:paraId="1C80496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For the researcher asking “Is gene X involved in ferroptosis, and what is the evidence?”, RCDome replaces hours of database cross-referencing with a single query that returns the answer, the provenance, and the evidence tier. The public codebase and the formal governance contract ensure that every step from database extraction to evidence verification is reproducible and auditable.</w:t>
      </w:r>
    </w:p>
    <w:p w14:paraId="008D4EC3" w14:textId="77777777" w:rsidR="00925876" w:rsidRPr="009B500E" w:rsidRDefault="00925876" w:rsidP="009B500E">
      <w:pPr>
        <w:spacing w:after="0" w:line="240" w:lineRule="auto"/>
        <w:rPr>
          <w:rFonts w:asciiTheme="majorHAnsi" w:hAnsiTheme="majorHAnsi" w:cstheme="majorHAnsi"/>
          <w:szCs w:val="24"/>
        </w:rPr>
      </w:pPr>
    </w:p>
    <w:p w14:paraId="48134DDB"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What the atlas reveals about the biology of regulated cell death</w:t>
      </w:r>
    </w:p>
    <w:p w14:paraId="279E9B2F" w14:textId="77777777" w:rsidR="00B147AA"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full-matrix classification, read as a whole, paints a picture that surprised us. The death-executing machinery is remarkably small: only 469 </w:t>
      </w:r>
      <w:r w:rsidR="00705A6F">
        <w:rPr>
          <w:rFonts w:asciiTheme="majorHAnsi" w:hAnsiTheme="majorHAnsi" w:cstheme="majorHAnsi"/>
          <w:szCs w:val="24"/>
        </w:rPr>
        <w:t>gene-RCD</w:t>
      </w:r>
      <w:r w:rsidRPr="009B500E">
        <w:rPr>
          <w:rFonts w:asciiTheme="majorHAnsi" w:hAnsiTheme="majorHAnsi" w:cstheme="majorHAnsi"/>
          <w:szCs w:val="24"/>
        </w:rPr>
        <w:t xml:space="preserve"> pairs (4.7% of the mechanistically-involved set) are executors — the genes that directly pore, cleave, or permeabilize to kill the cell. Everything else is regulation: 9,489 pairs (94.7%) are regulators that promote or inhibit death without executing it. Regulated cell death, in other words, is not a collection of lethal machines but a vast regulatory network built around a small core of executioners (</w:t>
      </w:r>
      <w:r w:rsidRPr="00897A3F">
        <w:rPr>
          <w:rFonts w:asciiTheme="majorHAnsi" w:hAnsiTheme="majorHAnsi" w:cstheme="majorHAnsi"/>
          <w:szCs w:val="24"/>
          <w:highlight w:val="green"/>
        </w:rPr>
        <w:t>Figure 3A).</w:t>
      </w:r>
    </w:p>
    <w:p w14:paraId="0AB42A1A" w14:textId="77777777" w:rsidR="00897A3F" w:rsidRPr="009B500E" w:rsidRDefault="00897A3F" w:rsidP="009B500E">
      <w:pPr>
        <w:spacing w:after="0" w:line="240" w:lineRule="auto"/>
        <w:rPr>
          <w:rFonts w:asciiTheme="majorHAnsi" w:hAnsiTheme="majorHAnsi" w:cstheme="majorHAnsi"/>
          <w:szCs w:val="24"/>
        </w:rPr>
      </w:pPr>
    </w:p>
    <w:p w14:paraId="3CBFDA9F"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signal is sharply stratified by ontological level. The L1 modalities — the bona fide death forms — carry 64.7% of their pairs as mechanistically involved, whereas the L5 concepts (Autophagy, Programmed cell death) carry only 31.3%, despite being the largest association hubs. Most genes associated with autophagy are associated with the process, not with its lethal outcome; the DeepSeek layer makes that distinction explicit at this scale (Figure 3B). This stratification is biologically informative, but it should not be read as an independent validation of the ontology: L1 was defined precisely to concentrate mechanistic forms, so a higher mechanistic fraction in L1 is in part expected by construction.</w:t>
      </w:r>
      <w:r w:rsidRPr="00897A3F">
        <w:rPr>
          <w:rFonts w:asciiTheme="majorHAnsi" w:hAnsiTheme="majorHAnsi" w:cstheme="majorHAnsi"/>
          <w:szCs w:val="24"/>
          <w:highlight w:val="green"/>
        </w:rPr>
      </w:r>
      <w:r w:rsidRPr="009B500E">
        <w:rPr>
          <w:rFonts w:asciiTheme="majorHAnsi" w:hAnsiTheme="majorHAnsi" w:cstheme="majorHAnsi"/>
          <w:szCs w:val="24"/>
        </w:rPr>
      </w:r>
    </w:p>
    <w:p w14:paraId="2732E1ED" w14:textId="77777777" w:rsidR="004B02F0" w:rsidRDefault="004B02F0" w:rsidP="009B500E">
      <w:pPr>
        <w:spacing w:after="0" w:line="240" w:lineRule="auto"/>
        <w:rPr>
          <w:rFonts w:asciiTheme="majorHAnsi" w:hAnsiTheme="majorHAnsi" w:cstheme="majorHAnsi"/>
          <w:szCs w:val="24"/>
        </w:rPr>
      </w:pPr>
    </w:p>
    <w:p w14:paraId="6612049B"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direction of regulation is nearly balanced — 5,070 promoters versus 4,755 protectors (across all role-resolved associations) — consistent with death as a decision that cells weigh in both directions, not a one-way cascade. And 64% of the 9,265 genes have at least one mechanistically-involved association, confirming that RCD is woven through a large fraction of the human genome (Figure 3C). Taken together, these numbers change how the field should be read: the core of regulated cell death is small, and most of the compiled network is regulation of death, not execution of it (Figure 3D). Gene coverage is highly heterogeneous across the 53 entities, from Apoptosis (5,897 genes) and Autophagy (4,634) to Pyronecrosis (1 gene) (Figure 4). Where a subtype carries more genes than its parent — Autosis (1,105 genes) against Autophagy-dependent cell death (110) — the difference reflects the depth of database indexing, not ontological inheritance; parent–child gene inventories are not expected to be nested subsets.</w:t>
      </w:r>
      <w:r w:rsidR="00897A3F">
        <w:rPr>
          <w:rFonts w:asciiTheme="majorHAnsi" w:hAnsiTheme="majorHAnsi" w:cstheme="majorHAnsi"/>
          <w:szCs w:val="24"/>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r w:rsidR="000B2C2A" w:rsidRPr="009B500E">
        <w:rPr>
          <w:rFonts w:asciiTheme="majorHAnsi" w:hAnsiTheme="majorHAnsi" w:cstheme="majorHAnsi"/>
          <w:szCs w:val="24"/>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p>
    <w:p w14:paraId="5C47A166" w14:textId="77777777" w:rsidR="000B2C2A" w:rsidRPr="009B500E" w:rsidRDefault="000B2C2A" w:rsidP="009B500E">
      <w:pPr>
        <w:spacing w:after="0" w:line="240" w:lineRule="auto"/>
        <w:rPr>
          <w:rFonts w:asciiTheme="majorHAnsi" w:hAnsiTheme="majorHAnsi" w:cstheme="majorHAnsi"/>
          <w:b/>
          <w:szCs w:val="24"/>
        </w:rPr>
      </w:pPr>
    </w:p>
    <w:p w14:paraId="43079FE5"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value and limits of the automated classifications</w:t>
      </w:r>
    </w:p>
    <w:p w14:paraId="168DE5DE"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two independent classifications — DeepSeek (the chain-of-thought full-matrix classification) and Elicit (the original AI-assisted extraction) — give every </w:t>
      </w:r>
      <w:r w:rsidR="00705A6F">
        <w:rPr>
          <w:rFonts w:asciiTheme="majorHAnsi" w:hAnsiTheme="majorHAnsi" w:cstheme="majorHAnsi"/>
          <w:szCs w:val="24"/>
        </w:rPr>
        <w:t>gene-RCD</w:t>
      </w:r>
      <w:r w:rsidRPr="009B500E">
        <w:rPr>
          <w:rFonts w:asciiTheme="majorHAnsi" w:hAnsiTheme="majorHAnsi" w:cstheme="majorHAnsi"/>
          <w:szCs w:val="24"/>
        </w:rPr>
        <w:t xml:space="preserve"> pair a separately-preserved, comparable verdict. The DeepSeek run classified all 21,568 pairs: 10,016 (46.4%) mechanistically involved and 11,552 (53.6%) not, with 469 executors and 9,489 regulators. The RCDome interface exposes these side by side through a source selector, and a researcher can extract the filtered table, the complete 71-column matrix, the per-entity comparison, or the 469-pair death core for their own work.</w:t>
      </w:r>
    </w:p>
    <w:p w14:paraId="5CB828AC" w14:textId="77777777" w:rsidR="004B02F0" w:rsidRDefault="004B02F0" w:rsidP="009B500E">
      <w:pPr>
        <w:spacing w:after="0" w:line="240" w:lineRule="auto"/>
        <w:rPr>
          <w:rFonts w:asciiTheme="majorHAnsi" w:hAnsiTheme="majorHAnsi" w:cstheme="majorHAnsi"/>
          <w:szCs w:val="24"/>
        </w:rPr>
      </w:pPr>
    </w:p>
    <w:p w14:paraId="1FFD4313"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lastRenderedPageBreak/>
        <w:t>This utility should be used with eyes open. Scaling a majority-vote classifier to 21,568 pairs necessarily leaves a residual error rate. We repaired 84 self-inconsistent rows after the fact, and we deliberately retained 231 rows as uncertain rather than forcing them into a category — because a wrong-but-confident label is worse than an honest unresolved. The benchmark record is strong, and it was built to be method-independent: the four landmark papers, the 17-pair ground truth, and the 26-pair benchmark were all fixed reference sets defined independently of the classifiers themselves — the classifications were never graded against their own outputs. On these agnostic reference sets,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5202FBA7" w14:textId="77777777" w:rsidR="004B02F0" w:rsidRDefault="004B02F0" w:rsidP="009B500E">
      <w:pPr>
        <w:spacing w:after="0" w:line="240" w:lineRule="auto"/>
        <w:rPr>
          <w:rFonts w:asciiTheme="majorHAnsi" w:hAnsiTheme="majorHAnsi" w:cstheme="majorHAnsi"/>
          <w:szCs w:val="24"/>
        </w:rPr>
      </w:pPr>
    </w:p>
    <w:p w14:paraId="577D2802"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7774B59B" w14:textId="77777777" w:rsidR="000B2C2A" w:rsidRPr="009B500E" w:rsidRDefault="000B2C2A" w:rsidP="009B500E">
      <w:pPr>
        <w:spacing w:after="0" w:line="240" w:lineRule="auto"/>
        <w:rPr>
          <w:rFonts w:asciiTheme="majorHAnsi" w:hAnsiTheme="majorHAnsi" w:cstheme="majorHAnsi"/>
          <w:b/>
          <w:szCs w:val="24"/>
        </w:rPr>
      </w:pPr>
    </w:p>
    <w:p w14:paraId="5367F631"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necrosis, metalloptosis), and others are emerging or legacy forms. Recognizing this heterogeneity strengthens rather than weakens the atlas: it reports the field as it is.</w:t>
      </w:r>
    </w:p>
    <w:p w14:paraId="565C8B71" w14:textId="77777777" w:rsidR="004B02F0" w:rsidRDefault="004B02F0" w:rsidP="009B500E">
      <w:pPr>
        <w:spacing w:after="0" w:line="240" w:lineRule="auto"/>
        <w:rPr>
          <w:rFonts w:asciiTheme="majorHAnsi" w:hAnsiTheme="majorHAnsi" w:cstheme="majorHAnsi"/>
          <w:szCs w:val="24"/>
        </w:rPr>
      </w:pPr>
    </w:p>
    <w:p w14:paraId="375E5F7E"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3A823EC3" w14:textId="77777777" w:rsidR="004B02F0" w:rsidRDefault="004B02F0" w:rsidP="009B500E">
      <w:pPr>
        <w:spacing w:after="0" w:line="240" w:lineRule="auto"/>
        <w:rPr>
          <w:rFonts w:asciiTheme="majorHAnsi" w:hAnsiTheme="majorHAnsi" w:cstheme="majorHAnsi"/>
          <w:szCs w:val="24"/>
        </w:rPr>
      </w:pPr>
    </w:p>
    <w:p w14:paraId="31AE9E73"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automated channels (DeepSeek, Elicit, Consensus) preserve association and evidence for every pair, but the final ontological adjudication — what counts as a modality, subtype, trigger, or umbrella — is curator-governed, consistent with the governance rules of this project.</w:t>
      </w:r>
    </w:p>
    <w:p w14:paraId="130172EE" w14:textId="77777777" w:rsidR="004B02F0" w:rsidRDefault="004B02F0" w:rsidP="009B500E">
      <w:pPr>
        <w:spacing w:after="0" w:line="240" w:lineRule="auto"/>
        <w:rPr>
          <w:rFonts w:asciiTheme="majorHAnsi" w:hAnsiTheme="majorHAnsi" w:cstheme="majorHAnsi"/>
          <w:b/>
          <w:szCs w:val="24"/>
        </w:rPr>
      </w:pPr>
    </w:p>
    <w:p w14:paraId="39A2BD13"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Limitations</w:t>
      </w:r>
    </w:p>
    <w:p w14:paraId="333C469D" w14:textId="77777777" w:rsidR="00B147AA" w:rsidRPr="009B500E" w:rsidRDefault="00000000" w:rsidP="009B500E">
      <w:pPr>
        <w:spacing w:after="0" w:line="240" w:lineRule="auto"/>
        <w:rPr>
          <w:rFonts w:asciiTheme="majorHAnsi" w:hAnsiTheme="majorHAnsi" w:cstheme="majorHAnsi"/>
          <w:szCs w:val="24"/>
        </w:rPr>
      </w:pPr>
      <w:r>
        <w:t>Two limitations are explicitly acknowledged. First, the Consensus evidence-channel classification is incomplete: 9,634 of 21,568 pairs were processed before the monthly call ceiling was reached, and the remainder will resume at the next reset; until then the third analysis is partial and the final three-way consensus is pending. Twenty-eight of the 53 RCD-related entities were not covered by the previous multi-optosis operational-definition set and therefore required RCDome-specific definition work; in the current decoder, all 53 entities have an operational definition anchored to a reference PMID.</w:t>
      </w:r>
    </w:p>
    <w:p w14:paraId="2A6DBE2B" w14:textId="77777777" w:rsidR="000B2C2A" w:rsidRPr="009B500E" w:rsidRDefault="000B2C2A" w:rsidP="009B500E">
      <w:pPr>
        <w:spacing w:after="0" w:line="240" w:lineRule="auto"/>
        <w:rPr>
          <w:rFonts w:asciiTheme="majorHAnsi" w:hAnsiTheme="majorHAnsi" w:cstheme="majorHAnsi"/>
          <w:b/>
          <w:szCs w:val="24"/>
        </w:rPr>
      </w:pPr>
    </w:p>
    <w:p w14:paraId="4F2535E3" w14:textId="77777777" w:rsidR="000B2C2A" w:rsidRPr="009B500E" w:rsidRDefault="000B2C2A"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Data and Code Availability</w:t>
      </w:r>
    </w:p>
    <w:p w14:paraId="61911D21" w14:textId="77777777" w:rsidR="000B2C2A" w:rsidRPr="009B500E" w:rsidRDefault="000B2C2A" w:rsidP="009B500E">
      <w:pPr>
        <w:spacing w:after="0" w:line="240" w:lineRule="auto"/>
        <w:rPr>
          <w:rFonts w:asciiTheme="majorHAnsi" w:hAnsiTheme="majorHAnsi" w:cstheme="majorHAnsi"/>
          <w:szCs w:val="24"/>
        </w:rPr>
      </w:pPr>
      <w:r>
        <w:t>The RCDome compendium matrix (Database S1; 22,473 rows × 71 columns), extraction pipeline, and the RCDome web application source code are available at https://github.com/BioCancerInformatics/RCDome. The 20 source databases are publicly accessible at the URLs listed in Supplementary Table S2. All extraction scripts, integration code, and the RCDome Shiny application source code are available at https://github.com/BioCancerInformatics/RCDome. The complete extraction pipeline is orchestrated by master_extract.py, which executes all 21 channel_*.py extraction scripts in sequence, producing timestamped, traceability-compliant CSV outputs. The repository also includes automated smoke tests with continuous integration that verify the mechanistic classification mapping, the chain-of-thought governance rules, and the benchmark scoring.</w:t>
      </w:r>
      <w:r w:rsidR="00603234"/>
      <w:r/>
      <w:r/>
      <w:r/>
    </w:p>
    <w:p w14:paraId="171768C3" w14:textId="77777777" w:rsidR="000B2C2A" w:rsidRPr="009B500E" w:rsidRDefault="000B2C2A" w:rsidP="009B500E">
      <w:pPr>
        <w:spacing w:after="0" w:line="240" w:lineRule="auto"/>
        <w:rPr>
          <w:rFonts w:asciiTheme="majorHAnsi" w:hAnsiTheme="majorHAnsi" w:cstheme="majorHAnsi"/>
          <w:szCs w:val="24"/>
        </w:rPr>
      </w:pPr>
    </w:p>
    <w:p w14:paraId="781AB849" w14:textId="77777777" w:rsidR="000B2C2A" w:rsidRPr="009B500E" w:rsidRDefault="000B2C2A" w:rsidP="009B500E">
      <w:pPr>
        <w:spacing w:after="0" w:line="240" w:lineRule="auto"/>
        <w:rPr>
          <w:rFonts w:asciiTheme="majorHAnsi" w:hAnsiTheme="majorHAnsi" w:cstheme="majorHAnsi"/>
          <w:b/>
          <w:szCs w:val="24"/>
        </w:rPr>
      </w:pPr>
    </w:p>
    <w:p w14:paraId="341CB23F" w14:textId="77777777" w:rsidR="00B147AA" w:rsidRDefault="00000000" w:rsidP="009B500E">
      <w:pPr>
        <w:spacing w:after="0" w:line="240" w:lineRule="auto"/>
        <w:rPr>
          <w:rFonts w:asciiTheme="majorHAnsi" w:hAnsiTheme="majorHAnsi" w:cstheme="majorHAnsi"/>
          <w:b/>
          <w:szCs w:val="24"/>
        </w:rPr>
      </w:pPr>
      <w:r w:rsidRPr="009B500E">
        <w:rPr>
          <w:rFonts w:asciiTheme="majorHAnsi" w:hAnsiTheme="majorHAnsi" w:cstheme="majorHAnsi"/>
          <w:b/>
          <w:szCs w:val="24"/>
        </w:rPr>
        <w:t>FIGURE LEGENDS</w:t>
      </w:r>
    </w:p>
    <w:p w14:paraId="4BEED9C0" w14:textId="77777777" w:rsidR="00180EB9" w:rsidRPr="009B500E" w:rsidRDefault="00180EB9" w:rsidP="009B500E">
      <w:pPr>
        <w:spacing w:after="0" w:line="240" w:lineRule="auto"/>
        <w:rPr>
          <w:rFonts w:asciiTheme="majorHAnsi" w:hAnsiTheme="majorHAnsi" w:cstheme="majorHAnsi"/>
          <w:szCs w:val="24"/>
        </w:rPr>
      </w:pPr>
    </w:p>
    <w:p w14:paraId="252483CD" w14:textId="77777777" w:rsidR="00B147AA" w:rsidRPr="009B500E" w:rsidRDefault="00000000"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 xml:space="preserve">Figure 1. RCDome compilation and validation pipeline. </w:t>
      </w:r>
      <w:r w:rsidRPr="002E2E0A">
        <w:rPr>
          <w:rFonts w:asciiTheme="majorHAnsi" w:hAnsiTheme="majorHAnsi" w:cstheme="majorHAnsi"/>
          <w:bCs/>
          <w:szCs w:val="24"/>
        </w:rPr>
        <w:t>RCDome is a human gene atlas of regulated cell death (RCD) assembled in a single top-to-bottom workflow. Twenty source 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four complementary channels: Channel A (programmatic PubMed Boolean searches) maximizes recall; Channel B (topic-specific database extraction) provides precision; Channel C (generative-AI-assisted literature screening) captures recent discoveries; and Channel D (manual expert curation) serves as the final arbiter.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which performs two-call abstract validation, full-text recovery, deep retrieval-augmented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 the gene symbol followed only by “cell death” — so that evidence is retrieved without form-name priming. The three analyses are preserved in separate columns and are never conflated. The resulting consolidated matrix (22,473 rows and 71 columns) powers the RCDome web application, whose interface comprises the interactive dome, the Explore RCDome guide, the Gene Catalog, the RCD entities browser, the Network module and RCDchat. Boxes are color-coded for visual distinction, and arrows indicate the flow of data through the pipeline.</w:t>
      </w:r>
    </w:p>
    <w:p w14:paraId="04E11C47" w14:textId="77777777" w:rsidR="000B2C2A" w:rsidRPr="009B500E" w:rsidRDefault="000B2C2A" w:rsidP="009B500E">
      <w:pPr>
        <w:spacing w:after="0" w:line="240" w:lineRule="auto"/>
        <w:rPr>
          <w:rFonts w:asciiTheme="majorHAnsi" w:hAnsiTheme="majorHAnsi" w:cstheme="majorHAnsi"/>
          <w:szCs w:val="24"/>
        </w:rPr>
      </w:pPr>
    </w:p>
    <w:p w14:paraId="4B068A3D"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Figure 2. Benchmark evaluation of the three independent analyses. (A) DeepSeek model-selection benchmark against a fixed 26-pair ground-truth set comprising 18 positive executor and regulator pairs and 8 form-mismatch negative controls: the baseline deepseek-chat model reached 81% combined accuracy with 38% false positives; chain-of-thought deepseek-reasoner reached 73% with 25% false positives; and the governance-augmented tool-call loop with a hand-curated reference, together with the self-provided chain-of-thought loop, each reached 100% combined accuracy with zero false positives — the self-provided loop was adopted because it requires no external reference. (B) Elicit post-export governance benchmark on the 784 records extracted across three forms (393 ferroptosis, 390 cuproptosis and 1 triaptosis): allow-list compliance improved from 75.4% to 100%, executor precision improved from 47%; after governance no unsupported EXECUTOR classification remained (all 192 were downgraded to REGULATOR), and publication traceability from 24% to 98%. (C) Consensus query-formulation benchmark against the same 26-pair ground-truth set: the form-biased query reached 92% combined accuracy with 12% false positives, whereas the neutral query — the gene symbol followed only by “cell death” — reached 100% combined accuracy with zero false positives. Green bars denote combined accuracy (panels A and C) or post-governance values (panel B); salmon bars denote false positives (panels A and C) or pre-governance values (panel B).</w:t>
      </w:r>
      <w:r w:rsidRPr="009B500E">
        <w:rPr>
          <w:rFonts w:asciiTheme="majorHAnsi" w:hAnsiTheme="majorHAnsi" w:cstheme="majorHAnsi"/>
          <w:bCs/>
          <w:szCs w:val="24"/>
        </w:rPr>
      </w:r>
      <w:r w:rsidRPr="009B500E">
        <w:rPr>
          <w:rFonts w:asciiTheme="majorHAnsi" w:hAnsiTheme="majorHAnsi" w:cstheme="majorHAnsi"/>
          <w:bCs/>
          <w:szCs w:val="24"/>
        </w:rPr>
      </w:r>
    </w:p>
    <w:p w14:paraId="54F213B6" w14:textId="77777777" w:rsidR="000B2C2A" w:rsidRPr="009B500E" w:rsidRDefault="000B2C2A" w:rsidP="009B500E">
      <w:pPr>
        <w:spacing w:after="0" w:line="240" w:lineRule="auto"/>
        <w:rPr>
          <w:rFonts w:asciiTheme="majorHAnsi" w:hAnsiTheme="majorHAnsi" w:cstheme="majorHAnsi"/>
          <w:b/>
          <w:szCs w:val="24"/>
        </w:rPr>
      </w:pPr>
    </w:p>
    <w:p w14:paraId="65EB06E1" w14:textId="77777777" w:rsidR="00B147AA" w:rsidRPr="009B500E" w:rsidRDefault="00000000"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Figure 3. The death core and its regulatory network. (A) Role distribution across the 21,568 unique gene-RCD pairs classified by the DeepSeek chain-of-thought run: 11,605 unresolved, 9,489 regulators, 469 executors, and 5 markers. (B) Mechanistically-involved fraction by ontological level (L1 modalities, L2 subtypes, L3 triggers, L4 Functional/contextual categories, L5 Generic/umbrella/legacy/taxon/emerging concepts); the modalities carry the densest mechanistic signal (64.7%) while the Functional/contextual categories (L4) are the most dilute (23.9%), with the Generic/umbrella/legacy/taxon/emerging concepts at 31.3%. (C) Direction across all role-resolved associations: 5,070 promote and 4,755 protect (among the 9,489 regulators, 4,556 promote, 4,755 protect, and 178 have unclear direction), a near-even balance. (D) The executor core (orange, 469) drawn area-proportionally inside the regulatory network (blue, 9,489) and the unresolved associations (grey, 11,605), illustrating that the death-executing machinery is small and the regulatory network is vast.</w:t>
      </w:r>
      <w:r w:rsidRPr="009B500E">
        <w:rPr>
          <w:rFonts w:asciiTheme="majorHAnsi" w:hAnsiTheme="majorHAnsi" w:cstheme="majorHAnsi"/>
          <w:bCs/>
          <w:szCs w:val="24"/>
        </w:rPr>
      </w:r>
      <w:r w:rsidR="00705A6F">
        <w:rPr>
          <w:rFonts w:asciiTheme="majorHAnsi" w:hAnsiTheme="majorHAnsi" w:cstheme="majorHAnsi"/>
          <w:bCs/>
          <w:szCs w:val="24"/>
        </w:rPr>
      </w:r>
      <w:r w:rsidRPr="009B500E">
        <w:rPr>
          <w:rFonts w:asciiTheme="majorHAnsi" w:hAnsiTheme="majorHAnsi" w:cstheme="majorHAnsi"/>
          <w:bCs/>
          <w:szCs w:val="24"/>
        </w:rPr>
      </w:r>
    </w:p>
    <w:p w14:paraId="0473D6CF" w14:textId="77777777" w:rsidR="005739A1" w:rsidRPr="009B500E" w:rsidRDefault="005739A1" w:rsidP="009B500E">
      <w:pPr>
        <w:spacing w:after="0" w:line="240" w:lineRule="auto"/>
        <w:rPr>
          <w:rFonts w:asciiTheme="majorHAnsi" w:hAnsiTheme="majorHAnsi" w:cstheme="majorHAnsi"/>
          <w:szCs w:val="24"/>
        </w:rPr>
      </w:pPr>
    </w:p>
    <w:p w14:paraId="6B047A58" w14:textId="77777777" w:rsidR="009076EB"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Figure 4. Gene coverage of the 53 canonicalized RCD-related entities.</w:t>
      </w:r>
      <w:r w:rsidRPr="002E2E0A">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Generic/umbrella/legacy/taxon/emerging concepts). The gene-count axis is log2-scaled so that the many entities with fewer than ten genes remain visible, and the exact gene count is printed at the end of each bar. Coverage is highly heterogeneous, from Apoptosis (5,897 genes) and Autophagy (4,634) to Pyronecrosis (1 gene).</w:t>
      </w:r>
    </w:p>
    <w:p w14:paraId="25D6762F" w14:textId="77777777" w:rsidR="004B02F0" w:rsidRDefault="004B02F0" w:rsidP="009B500E">
      <w:pPr>
        <w:pStyle w:val="Ttulo2"/>
        <w:spacing w:before="0" w:line="240" w:lineRule="auto"/>
        <w:rPr>
          <w:rFonts w:cstheme="majorHAnsi"/>
          <w:sz w:val="24"/>
          <w:szCs w:val="24"/>
        </w:rPr>
      </w:pPr>
    </w:p>
    <w:p w14:paraId="2F80B86D" w14:textId="77777777" w:rsidR="004B02F0" w:rsidRDefault="004B02F0" w:rsidP="009B500E">
      <w:pPr>
        <w:pStyle w:val="Ttulo2"/>
        <w:spacing w:before="0" w:line="240" w:lineRule="auto"/>
        <w:rPr>
          <w:rFonts w:cstheme="majorHAnsi"/>
          <w:sz w:val="24"/>
          <w:szCs w:val="24"/>
        </w:rPr>
      </w:pPr>
    </w:p>
    <w:p w14:paraId="782FEEC8" w14:textId="77777777" w:rsidR="00180EB9" w:rsidRDefault="00180EB9" w:rsidP="009B500E">
      <w:pPr>
        <w:pStyle w:val="Ttulo2"/>
        <w:spacing w:before="0" w:line="240" w:lineRule="auto"/>
        <w:rPr>
          <w:rFonts w:cstheme="majorHAnsi"/>
          <w:sz w:val="24"/>
          <w:szCs w:val="24"/>
        </w:rPr>
        <w:sectPr w:rsidR="00180EB9" w:rsidSect="00034616">
          <w:pgSz w:w="11906" w:h="16838"/>
          <w:pgMar w:top="1417" w:right="1417" w:bottom="1417" w:left="1417" w:header="720" w:footer="720" w:gutter="0"/>
          <w:cols w:space="720"/>
          <w:docGrid w:linePitch="360"/>
        </w:sectPr>
      </w:pPr>
    </w:p>
    <w:p w14:paraId="61E86FE8" w14:textId="77777777" w:rsidR="00764347" w:rsidRDefault="00180EB9" w:rsidP="009B500E">
      <w:pPr>
        <w:pStyle w:val="Ttulo2"/>
        <w:spacing w:before="0" w:line="240" w:lineRule="auto"/>
        <w:rPr>
          <w:rFonts w:cstheme="majorHAnsi"/>
          <w:sz w:val="24"/>
          <w:szCs w:val="24"/>
        </w:rPr>
      </w:pPr>
      <w:r w:rsidRPr="009B500E">
        <w:rPr>
          <w:rFonts w:cstheme="majorHAnsi"/>
          <w:sz w:val="24"/>
          <w:szCs w:val="24"/>
        </w:rPr>
        <w:lastRenderedPageBreak/>
        <w:t>REFERENCES</w:t>
      </w:r>
    </w:p>
    <w:p w14:paraId="2D19FDDC" w14:textId="77777777" w:rsidR="00180EB9" w:rsidRPr="00180EB9" w:rsidRDefault="00180EB9" w:rsidP="00180EB9"/>
    <w:p w14:paraId="592CADF2"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1 Galluzzi L., Vitale I., Aaronson S. A., Abrams J. M., Adam D., Agostinis P., et al. (2018). Molecular mechanisms of cell death: recommendations of the Nomenclature Committee on Cell Death 2018. Cell Death Differ 25(3): 486-541.</w:t>
      </w:r>
    </w:p>
    <w:p w14:paraId="221A12A1"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2 Ghaderi D., Sahimi A., Esser B., Ruggles K. V. and Maimon R. (2026). Why biology must prioritize data reanalysis in the era of artificial intelligence. PLoS Biol 24(7): e3003888.</w:t>
      </w:r>
    </w:p>
    <w:p w14:paraId="5D496BAD" w14:textId="77777777" w:rsidR="005F5CFD" w:rsidRPr="009B500E" w:rsidRDefault="005F5CFD" w:rsidP="009B500E">
      <w:pPr>
        <w:pStyle w:val="EndNoteBibliography"/>
        <w:spacing w:after="0"/>
        <w:rPr>
          <w:rFonts w:asciiTheme="majorHAnsi" w:hAnsiTheme="majorHAnsi" w:cstheme="majorHAnsi"/>
          <w:szCs w:val="24"/>
          <w:lang w:val="fr-029"/>
        </w:rPr>
      </w:pPr>
      <w:r w:rsidRPr="009B500E">
        <w:rPr>
          <w:rFonts w:asciiTheme="majorHAnsi" w:hAnsiTheme="majorHAnsi" w:cstheme="majorHAnsi"/>
          <w:szCs w:val="24"/>
        </w:rPr>
        <w:t xml:space="preserve">3 Pandian N. and Kanneganti T. D. (2022). PANoptosis: A Unique Innate Immune Inflammatory Cell Death Modality. </w:t>
      </w:r>
      <w:r w:rsidRPr="009B500E">
        <w:rPr>
          <w:rFonts w:asciiTheme="majorHAnsi" w:hAnsiTheme="majorHAnsi" w:cstheme="majorHAnsi"/>
          <w:szCs w:val="24"/>
          <w:lang w:val="fr-029"/>
        </w:rPr>
        <w:t>J Immunol 209(9): 1625-1633.</w:t>
      </w:r>
    </w:p>
    <w:p w14:paraId="64B4A6BC" w14:textId="77777777" w:rsidR="005F5CFD" w:rsidRPr="009B500E" w:rsidRDefault="005F5CFD" w:rsidP="009B500E">
      <w:pPr>
        <w:pStyle w:val="EndNoteBibliography"/>
        <w:spacing w:after="0"/>
        <w:rPr>
          <w:rFonts w:asciiTheme="majorHAnsi" w:hAnsiTheme="majorHAnsi" w:cstheme="majorHAnsi"/>
          <w:szCs w:val="24"/>
          <w:lang w:val="pt-BR"/>
        </w:rPr>
      </w:pPr>
      <w:r w:rsidRPr="009B500E">
        <w:rPr>
          <w:rFonts w:asciiTheme="majorHAnsi" w:hAnsiTheme="majorHAnsi" w:cstheme="majorHAnsi"/>
          <w:szCs w:val="24"/>
          <w:lang w:val="fr-029"/>
        </w:rPr>
        <w:t xml:space="preserve">4 Perez-Riverol Y., Zorin A., Dass G., Vu M. T., Xu P., Glont M., et al. </w:t>
      </w:r>
      <w:r w:rsidRPr="009B500E">
        <w:rPr>
          <w:rFonts w:asciiTheme="majorHAnsi" w:hAnsiTheme="majorHAnsi" w:cstheme="majorHAnsi"/>
          <w:szCs w:val="24"/>
          <w:lang w:val="pt-BR"/>
        </w:rPr>
        <w:t>(2019). Quantifying the impact of public omics data. Nat Commun 10(1): 3512.</w:t>
      </w:r>
    </w:p>
    <w:p w14:paraId="016D60CE" w14:textId="77777777" w:rsidR="005F5CFD" w:rsidRPr="009B500E" w:rsidRDefault="005F5CFD" w:rsidP="009B500E">
      <w:pPr>
        <w:pStyle w:val="EndNoteBibliography"/>
        <w:spacing w:after="0"/>
        <w:rPr>
          <w:rFonts w:asciiTheme="majorHAnsi" w:hAnsiTheme="majorHAnsi" w:cstheme="majorHAnsi"/>
          <w:szCs w:val="24"/>
          <w:lang w:val="pt-BR"/>
        </w:rPr>
      </w:pPr>
      <w:r w:rsidRPr="009B500E">
        <w:rPr>
          <w:rFonts w:asciiTheme="majorHAnsi" w:hAnsiTheme="majorHAnsi" w:cstheme="majorHAnsi"/>
          <w:szCs w:val="24"/>
          <w:lang w:val="pt-BR"/>
        </w:rPr>
        <w:t xml:space="preserve">5 Rodrigues de Souza E., Almeida Cordeiro Nogueira H., da Silva Francisco Junior R., Garcia A. B. and Medina-Acosta E. (2025). </w:t>
      </w:r>
      <w:r w:rsidRPr="009B500E">
        <w:rPr>
          <w:rFonts w:asciiTheme="majorHAnsi" w:hAnsiTheme="majorHAnsi" w:cstheme="majorHAnsi"/>
          <w:szCs w:val="24"/>
        </w:rPr>
        <w:t xml:space="preserve">Integrated multi-optosis model for pan-cancer candidate biomarker and therapy target discovery. </w:t>
      </w:r>
      <w:r w:rsidRPr="009B500E">
        <w:rPr>
          <w:rFonts w:asciiTheme="majorHAnsi" w:hAnsiTheme="majorHAnsi" w:cstheme="majorHAnsi"/>
          <w:szCs w:val="24"/>
          <w:lang w:val="pt-BR"/>
        </w:rPr>
        <w:t>Front Bioinform 5: 1630518.</w:t>
      </w:r>
    </w:p>
    <w:p w14:paraId="5C275E87"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lang w:val="pt-BR"/>
        </w:rPr>
        <w:t xml:space="preserve">6 Rodrigues de Souza E., Almeida Cordeiro Nogueira H., dos Santos Lopes V. and Medina-Acosta E. (2026). </w:t>
      </w:r>
      <w:r w:rsidRPr="009B500E">
        <w:rPr>
          <w:rFonts w:asciiTheme="majorHAnsi" w:hAnsiTheme="majorHAnsi" w:cstheme="majorHAnsi"/>
          <w:szCs w:val="24"/>
        </w:rPr>
        <w:t>A Pan-Cancer Multi-Omic SuperLearner for Regulated Cell Death Survival Topologies. bioRxiv: 2026.2005.2029.728842.</w:t>
      </w:r>
    </w:p>
    <w:p w14:paraId="6D625AE0"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lang w:val="de-DE"/>
        </w:rPr>
        <w:t xml:space="preserve">7 Wang X., Wang Q., Zhao J., Chen J., Wu R., Pan J., et al. </w:t>
      </w:r>
      <w:r w:rsidRPr="009B500E">
        <w:rPr>
          <w:rFonts w:asciiTheme="majorHAnsi" w:hAnsiTheme="majorHAnsi" w:cstheme="majorHAnsi"/>
          <w:szCs w:val="24"/>
        </w:rPr>
        <w:t>(2024). RCDdb: A manually curated database and analysis platform for regulated cell death. Comput Struct Biotechnol J 23: 3211-3221.</w:t>
      </w:r>
    </w:p>
    <w:p w14:paraId="71453603"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8 Zhang W., Zhu Y., Liu H., Zhang Y., Liu H., Adegboro A. A., et al. (2024). Pan-cancer evaluation of regulated cell death to predict overall survival and immune checkpoint inhibitor response. NPJ Precis Oncol 8(1): 77.</w:t>
      </w:r>
    </w:p>
    <w:p w14:paraId="07360E00"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9 Zhou N., Peng L., Luo Q., Yin T., Sun H., Zhang Y., et al. (2026). FerrDb V3: expanding the manually curated resource for regulators and disease associations from ferroptosis to regulated cell death. Nucleic Acids Res 54(D1): D572-D582.</w:t>
      </w:r>
    </w:p>
    <w:p w14:paraId="3FC3C1AF" w14:textId="77777777" w:rsidR="0013202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10 Zhou S., Huang Y., Xing J., Zhou X., Chen S., Chen J., Wang L., Jiang W. (2023). ncFO: A comprehensive resource of curated and predicted ncRNAs associated with ferroptosis. Genomics Proteomics Bioinformatics 21(2): 278-282.</w:t>
      </w:r>
    </w:p>
    <w:p w14:paraId="53EA2C71" w14:textId="77777777" w:rsidR="00B147AA" w:rsidRPr="009B500E" w:rsidRDefault="00B147AA" w:rsidP="009B500E">
      <w:pPr>
        <w:spacing w:after="0" w:line="240" w:lineRule="auto"/>
        <w:rPr>
          <w:rFonts w:asciiTheme="majorHAnsi" w:hAnsiTheme="majorHAnsi" w:cstheme="majorHAnsi"/>
          <w:szCs w:val="24"/>
        </w:rPr>
      </w:pPr>
    </w:p>
    <w:p w14:paraId="59B7CB08" w14:textId="77777777" w:rsidR="00764347" w:rsidRPr="009B500E" w:rsidRDefault="00764347" w:rsidP="009B500E">
      <w:pPr>
        <w:spacing w:after="0" w:line="240" w:lineRule="auto"/>
        <w:rPr>
          <w:rFonts w:asciiTheme="majorHAnsi" w:hAnsiTheme="majorHAnsi" w:cstheme="majorHAnsi"/>
          <w:b/>
          <w:bCs/>
          <w:szCs w:val="24"/>
        </w:rPr>
      </w:pPr>
    </w:p>
    <w:sectPr w:rsidR="00764347" w:rsidRPr="009B500E" w:rsidSect="00034616">
      <w:pgSz w:w="11906" w:h="16838"/>
      <w:pgMar w:top="1417" w:right="1417" w:bottom="1417" w:left="1417"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nrique Medina-Acosta" w:date="2026-09-12T18:07:00Z" w:initials="EM">
    <w:p w14:paraId="142CE38E" w14:textId="22A0E58B" w:rsidR="002E2E0A" w:rsidRDefault="002E2E0A">
      <w:pPr>
        <w:pStyle w:val="Textodecomentrio"/>
      </w:pPr>
      <w:r>
        <w:rPr>
          <w:rStyle w:val="Refdecomentrio"/>
        </w:rPr>
        <w:annotationRef/>
      </w:r>
      <w:r>
        <w:t xml:space="preserve">Really three which includes the expert adjudication (manual verification). </w:t>
      </w:r>
      <w:proofErr w:type="spellStart"/>
      <w:r>
        <w:t>MJst</w:t>
      </w:r>
      <w:proofErr w:type="spellEnd"/>
      <w:r>
        <w:t xml:space="preserve"> </w:t>
      </w:r>
      <w:proofErr w:type="spellStart"/>
      <w:r>
        <w:t>reientegraye</w:t>
      </w:r>
      <w:proofErr w:type="spellEnd"/>
      <w:r>
        <w:t xml:space="preserve"> </w:t>
      </w:r>
      <w:proofErr w:type="spellStart"/>
      <w:r>
        <w:t>witht</w:t>
      </w:r>
      <w:proofErr w:type="spellEnd"/>
      <w:r>
        <w:t xml:space="preserve"> eh </w:t>
      </w:r>
      <w:proofErr w:type="spellStart"/>
      <w:r>
        <w:t>asjuducaio</w:t>
      </w:r>
      <w:proofErr w:type="spellEnd"/>
      <w:r>
        <w:t xml:space="preserve"> </w:t>
      </w:r>
      <w:proofErr w:type="spellStart"/>
      <w:r>
        <w:t>rsualys</w:t>
      </w:r>
      <w:proofErr w:type="spellEnd"/>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42CE38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CB241AE" w16cex:dateUtc="2026-09-12T23: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42CE38E" w16cid:durableId="3CB241A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CDC935" w14:textId="77777777" w:rsidR="008725B9" w:rsidRDefault="008725B9" w:rsidP="007B760F">
      <w:pPr>
        <w:spacing w:after="0" w:line="240" w:lineRule="auto"/>
      </w:pPr>
      <w:r>
        <w:separator/>
      </w:r>
    </w:p>
  </w:endnote>
  <w:endnote w:type="continuationSeparator" w:id="0">
    <w:p w14:paraId="5EBBB3CF" w14:textId="77777777" w:rsidR="008725B9" w:rsidRDefault="008725B9"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86674F" w14:textId="77777777" w:rsidR="008725B9" w:rsidRDefault="008725B9" w:rsidP="007B760F">
      <w:pPr>
        <w:spacing w:after="0" w:line="240" w:lineRule="auto"/>
      </w:pPr>
      <w:r>
        <w:separator/>
      </w:r>
    </w:p>
  </w:footnote>
  <w:footnote w:type="continuationSeparator" w:id="0">
    <w:p w14:paraId="34AB2DB3" w14:textId="77777777" w:rsidR="008725B9" w:rsidRDefault="008725B9"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55CF6785"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10C33A0D"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nrique Medina-Acosta">
    <w15:presenceInfo w15:providerId="Windows Live" w15:userId="9c9d5c308c6afd8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MaoFAHthmIw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113C4"/>
    <w:rsid w:val="00015DDB"/>
    <w:rsid w:val="00034616"/>
    <w:rsid w:val="00046DDD"/>
    <w:rsid w:val="0006063C"/>
    <w:rsid w:val="000664F9"/>
    <w:rsid w:val="00074187"/>
    <w:rsid w:val="00080633"/>
    <w:rsid w:val="00086164"/>
    <w:rsid w:val="000866BF"/>
    <w:rsid w:val="00087C1F"/>
    <w:rsid w:val="000A3379"/>
    <w:rsid w:val="000A4666"/>
    <w:rsid w:val="000A7619"/>
    <w:rsid w:val="000B2C2A"/>
    <w:rsid w:val="000C31F5"/>
    <w:rsid w:val="000C564C"/>
    <w:rsid w:val="000C5913"/>
    <w:rsid w:val="000C7EE5"/>
    <w:rsid w:val="000E73A4"/>
    <w:rsid w:val="000F5DEE"/>
    <w:rsid w:val="001045DA"/>
    <w:rsid w:val="0011206F"/>
    <w:rsid w:val="0012097B"/>
    <w:rsid w:val="0013202B"/>
    <w:rsid w:val="00142F60"/>
    <w:rsid w:val="0015074B"/>
    <w:rsid w:val="00162DC1"/>
    <w:rsid w:val="001761FA"/>
    <w:rsid w:val="00177951"/>
    <w:rsid w:val="001779F6"/>
    <w:rsid w:val="001800ED"/>
    <w:rsid w:val="00180EB9"/>
    <w:rsid w:val="00187DB0"/>
    <w:rsid w:val="0019489D"/>
    <w:rsid w:val="001C0439"/>
    <w:rsid w:val="001C3B9A"/>
    <w:rsid w:val="001D4FC0"/>
    <w:rsid w:val="001E0E68"/>
    <w:rsid w:val="001F6597"/>
    <w:rsid w:val="001F6A83"/>
    <w:rsid w:val="002068DF"/>
    <w:rsid w:val="00211292"/>
    <w:rsid w:val="0021654E"/>
    <w:rsid w:val="0022059B"/>
    <w:rsid w:val="002227B6"/>
    <w:rsid w:val="00223010"/>
    <w:rsid w:val="00230384"/>
    <w:rsid w:val="0023385D"/>
    <w:rsid w:val="002432F8"/>
    <w:rsid w:val="002469FE"/>
    <w:rsid w:val="00264E95"/>
    <w:rsid w:val="00264F46"/>
    <w:rsid w:val="0026702C"/>
    <w:rsid w:val="00267451"/>
    <w:rsid w:val="002705CC"/>
    <w:rsid w:val="00275E31"/>
    <w:rsid w:val="0029639D"/>
    <w:rsid w:val="002A6C84"/>
    <w:rsid w:val="002C584C"/>
    <w:rsid w:val="002E19E0"/>
    <w:rsid w:val="002E2E0A"/>
    <w:rsid w:val="002E33E8"/>
    <w:rsid w:val="002E5FF2"/>
    <w:rsid w:val="002E6434"/>
    <w:rsid w:val="002E6683"/>
    <w:rsid w:val="002F1AA1"/>
    <w:rsid w:val="002F5184"/>
    <w:rsid w:val="00304AEF"/>
    <w:rsid w:val="0030592D"/>
    <w:rsid w:val="00324D4C"/>
    <w:rsid w:val="003263A0"/>
    <w:rsid w:val="00326F90"/>
    <w:rsid w:val="003271F9"/>
    <w:rsid w:val="00333DF6"/>
    <w:rsid w:val="00334F5E"/>
    <w:rsid w:val="00353D70"/>
    <w:rsid w:val="00364152"/>
    <w:rsid w:val="00380C55"/>
    <w:rsid w:val="00380FBB"/>
    <w:rsid w:val="00381A47"/>
    <w:rsid w:val="00381DF2"/>
    <w:rsid w:val="00391E4B"/>
    <w:rsid w:val="003A135D"/>
    <w:rsid w:val="003A2688"/>
    <w:rsid w:val="003A4BA7"/>
    <w:rsid w:val="003B5CD4"/>
    <w:rsid w:val="003C4DF7"/>
    <w:rsid w:val="003D5F5C"/>
    <w:rsid w:val="003F3DE6"/>
    <w:rsid w:val="0041302C"/>
    <w:rsid w:val="00427439"/>
    <w:rsid w:val="00442ADB"/>
    <w:rsid w:val="0044319E"/>
    <w:rsid w:val="00444E7A"/>
    <w:rsid w:val="004450FD"/>
    <w:rsid w:val="00447C46"/>
    <w:rsid w:val="00451C06"/>
    <w:rsid w:val="00463DD3"/>
    <w:rsid w:val="00466538"/>
    <w:rsid w:val="004679FC"/>
    <w:rsid w:val="004708B6"/>
    <w:rsid w:val="0048064C"/>
    <w:rsid w:val="00491367"/>
    <w:rsid w:val="00495FA3"/>
    <w:rsid w:val="004A5E2F"/>
    <w:rsid w:val="004B02F0"/>
    <w:rsid w:val="004B5F51"/>
    <w:rsid w:val="004B7A26"/>
    <w:rsid w:val="004B7B0B"/>
    <w:rsid w:val="004C02C6"/>
    <w:rsid w:val="004C0F76"/>
    <w:rsid w:val="004C566E"/>
    <w:rsid w:val="004C6F14"/>
    <w:rsid w:val="004E0678"/>
    <w:rsid w:val="004E36FF"/>
    <w:rsid w:val="004E777D"/>
    <w:rsid w:val="004E7824"/>
    <w:rsid w:val="00505C00"/>
    <w:rsid w:val="00516472"/>
    <w:rsid w:val="00521B54"/>
    <w:rsid w:val="00526657"/>
    <w:rsid w:val="00533B0E"/>
    <w:rsid w:val="00536338"/>
    <w:rsid w:val="00541EEE"/>
    <w:rsid w:val="00570905"/>
    <w:rsid w:val="005739A1"/>
    <w:rsid w:val="005874C2"/>
    <w:rsid w:val="00593999"/>
    <w:rsid w:val="005A2A6D"/>
    <w:rsid w:val="005A5325"/>
    <w:rsid w:val="005A7DAD"/>
    <w:rsid w:val="005B369D"/>
    <w:rsid w:val="005C4538"/>
    <w:rsid w:val="005E1CBD"/>
    <w:rsid w:val="005E2A6F"/>
    <w:rsid w:val="005E3A73"/>
    <w:rsid w:val="005E4420"/>
    <w:rsid w:val="005F5CFD"/>
    <w:rsid w:val="00603234"/>
    <w:rsid w:val="00612139"/>
    <w:rsid w:val="006246B9"/>
    <w:rsid w:val="00635000"/>
    <w:rsid w:val="00637146"/>
    <w:rsid w:val="006408EE"/>
    <w:rsid w:val="0065188A"/>
    <w:rsid w:val="00655A19"/>
    <w:rsid w:val="00661FF5"/>
    <w:rsid w:val="00664FD0"/>
    <w:rsid w:val="00670D3F"/>
    <w:rsid w:val="0067483C"/>
    <w:rsid w:val="00676F2A"/>
    <w:rsid w:val="00685507"/>
    <w:rsid w:val="00694743"/>
    <w:rsid w:val="006A1146"/>
    <w:rsid w:val="006B0346"/>
    <w:rsid w:val="006C3B9E"/>
    <w:rsid w:val="006C42F9"/>
    <w:rsid w:val="006D136A"/>
    <w:rsid w:val="006D380F"/>
    <w:rsid w:val="00705A6F"/>
    <w:rsid w:val="00707921"/>
    <w:rsid w:val="00713BFF"/>
    <w:rsid w:val="00713EBB"/>
    <w:rsid w:val="00717B91"/>
    <w:rsid w:val="0072338A"/>
    <w:rsid w:val="00730A40"/>
    <w:rsid w:val="00731F91"/>
    <w:rsid w:val="007433C5"/>
    <w:rsid w:val="007478A9"/>
    <w:rsid w:val="0075796D"/>
    <w:rsid w:val="00760A8E"/>
    <w:rsid w:val="00764347"/>
    <w:rsid w:val="00777BD4"/>
    <w:rsid w:val="00783422"/>
    <w:rsid w:val="0078506A"/>
    <w:rsid w:val="00786491"/>
    <w:rsid w:val="00795995"/>
    <w:rsid w:val="007B760F"/>
    <w:rsid w:val="007B7E51"/>
    <w:rsid w:val="007C2253"/>
    <w:rsid w:val="008046DE"/>
    <w:rsid w:val="00810D11"/>
    <w:rsid w:val="0081379F"/>
    <w:rsid w:val="008147BF"/>
    <w:rsid w:val="00816B6F"/>
    <w:rsid w:val="00830D18"/>
    <w:rsid w:val="00840E12"/>
    <w:rsid w:val="00864C50"/>
    <w:rsid w:val="00871351"/>
    <w:rsid w:val="00871F46"/>
    <w:rsid w:val="008725B9"/>
    <w:rsid w:val="00896617"/>
    <w:rsid w:val="00897A3F"/>
    <w:rsid w:val="008A62B5"/>
    <w:rsid w:val="00901630"/>
    <w:rsid w:val="0090277D"/>
    <w:rsid w:val="009045FD"/>
    <w:rsid w:val="009076EB"/>
    <w:rsid w:val="0091541F"/>
    <w:rsid w:val="00916CE4"/>
    <w:rsid w:val="00917D83"/>
    <w:rsid w:val="00921C18"/>
    <w:rsid w:val="00925876"/>
    <w:rsid w:val="00931779"/>
    <w:rsid w:val="00935B55"/>
    <w:rsid w:val="00947DDC"/>
    <w:rsid w:val="00980C69"/>
    <w:rsid w:val="0098148B"/>
    <w:rsid w:val="00985363"/>
    <w:rsid w:val="00993354"/>
    <w:rsid w:val="009A2EA1"/>
    <w:rsid w:val="009A3061"/>
    <w:rsid w:val="009A460B"/>
    <w:rsid w:val="009B14C2"/>
    <w:rsid w:val="009B500E"/>
    <w:rsid w:val="009C5F08"/>
    <w:rsid w:val="00A00534"/>
    <w:rsid w:val="00A224F5"/>
    <w:rsid w:val="00A24850"/>
    <w:rsid w:val="00A30E1D"/>
    <w:rsid w:val="00A3490D"/>
    <w:rsid w:val="00A36429"/>
    <w:rsid w:val="00A4745B"/>
    <w:rsid w:val="00A63D1A"/>
    <w:rsid w:val="00A82408"/>
    <w:rsid w:val="00A82E1A"/>
    <w:rsid w:val="00A840DC"/>
    <w:rsid w:val="00AA1D8D"/>
    <w:rsid w:val="00AA511A"/>
    <w:rsid w:val="00AB0CA0"/>
    <w:rsid w:val="00AB48D6"/>
    <w:rsid w:val="00AC138D"/>
    <w:rsid w:val="00AC1A2B"/>
    <w:rsid w:val="00AE6AFF"/>
    <w:rsid w:val="00B04B4F"/>
    <w:rsid w:val="00B13B32"/>
    <w:rsid w:val="00B147AA"/>
    <w:rsid w:val="00B204AE"/>
    <w:rsid w:val="00B231C6"/>
    <w:rsid w:val="00B32292"/>
    <w:rsid w:val="00B32DFC"/>
    <w:rsid w:val="00B47730"/>
    <w:rsid w:val="00B731FF"/>
    <w:rsid w:val="00B7740E"/>
    <w:rsid w:val="00B82BB0"/>
    <w:rsid w:val="00B86FC4"/>
    <w:rsid w:val="00B9076D"/>
    <w:rsid w:val="00B930D3"/>
    <w:rsid w:val="00B966FA"/>
    <w:rsid w:val="00B97F4B"/>
    <w:rsid w:val="00BA2B2A"/>
    <w:rsid w:val="00BB5EC5"/>
    <w:rsid w:val="00BC2B1E"/>
    <w:rsid w:val="00BC2C18"/>
    <w:rsid w:val="00BC306B"/>
    <w:rsid w:val="00BD21B6"/>
    <w:rsid w:val="00BD7710"/>
    <w:rsid w:val="00BF0B02"/>
    <w:rsid w:val="00C00F6A"/>
    <w:rsid w:val="00C10047"/>
    <w:rsid w:val="00C11CC9"/>
    <w:rsid w:val="00C22E1A"/>
    <w:rsid w:val="00C26D91"/>
    <w:rsid w:val="00C347D2"/>
    <w:rsid w:val="00C54FC4"/>
    <w:rsid w:val="00C73316"/>
    <w:rsid w:val="00C84588"/>
    <w:rsid w:val="00C853F2"/>
    <w:rsid w:val="00C9752A"/>
    <w:rsid w:val="00C97EE4"/>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D01B24"/>
    <w:rsid w:val="00D11423"/>
    <w:rsid w:val="00D116F4"/>
    <w:rsid w:val="00D12587"/>
    <w:rsid w:val="00D16F02"/>
    <w:rsid w:val="00D569A8"/>
    <w:rsid w:val="00D710BD"/>
    <w:rsid w:val="00D71E3F"/>
    <w:rsid w:val="00D75735"/>
    <w:rsid w:val="00D87307"/>
    <w:rsid w:val="00DA091E"/>
    <w:rsid w:val="00DD6AA9"/>
    <w:rsid w:val="00DE0257"/>
    <w:rsid w:val="00DF7BA4"/>
    <w:rsid w:val="00E11301"/>
    <w:rsid w:val="00E23161"/>
    <w:rsid w:val="00E31565"/>
    <w:rsid w:val="00E33A79"/>
    <w:rsid w:val="00E4335B"/>
    <w:rsid w:val="00E54383"/>
    <w:rsid w:val="00E61543"/>
    <w:rsid w:val="00E7670C"/>
    <w:rsid w:val="00E82E99"/>
    <w:rsid w:val="00E859DE"/>
    <w:rsid w:val="00E91B38"/>
    <w:rsid w:val="00EA6C20"/>
    <w:rsid w:val="00EA778E"/>
    <w:rsid w:val="00EB23ED"/>
    <w:rsid w:val="00EC5F2D"/>
    <w:rsid w:val="00ED79E0"/>
    <w:rsid w:val="00EF0CC9"/>
    <w:rsid w:val="00EF1CCE"/>
    <w:rsid w:val="00EF63EC"/>
    <w:rsid w:val="00F21EC4"/>
    <w:rsid w:val="00F41A82"/>
    <w:rsid w:val="00F42F0E"/>
    <w:rsid w:val="00F46D86"/>
    <w:rsid w:val="00F51FFA"/>
    <w:rsid w:val="00F70510"/>
    <w:rsid w:val="00F7090A"/>
    <w:rsid w:val="00F75A43"/>
    <w:rsid w:val="00F83CAB"/>
    <w:rsid w:val="00FA7725"/>
    <w:rsid w:val="00FB41C5"/>
    <w:rsid w:val="00FC261A"/>
    <w:rsid w:val="00FC693F"/>
    <w:rsid w:val="00FD2A2E"/>
    <w:rsid w:val="00FD37F8"/>
    <w:rsid w:val="00FF2AF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413904C"/>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C2A"/>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zhounan.org/ferrdb" TargetMode="External"/><Relationship Id="rId18" Type="http://schemas.openxmlformats.org/officeDocument/2006/relationships/hyperlink" Target="https://autophagy.lu" TargetMode="External"/><Relationship Id="rId26" Type="http://schemas.openxmlformats.org/officeDocument/2006/relationships/hyperlink" Target="https://www.gsea-msigdb.org" TargetMode="External"/><Relationship Id="rId39" Type="http://schemas.openxmlformats.org/officeDocument/2006/relationships/hyperlink" Target="https://pcm2019.shinyapps.io/XDeathDB" TargetMode="External"/><Relationship Id="rId21" Type="http://schemas.openxmlformats.org/officeDocument/2006/relationships/hyperlink" Target="https://amtdb.vercel.app" TargetMode="External"/><Relationship Id="rId34" Type="http://schemas.openxmlformats.org/officeDocument/2006/relationships/hyperlink" Target="https://sites.broadinstitute.org/ccle" TargetMode="External"/><Relationship Id="rId42" Type="http://schemas.microsoft.com/office/2011/relationships/commentsExtended" Target="commentsExtended.xm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lncrcddb.bio-database.com" TargetMode="External"/><Relationship Id="rId29" Type="http://schemas.openxmlformats.org/officeDocument/2006/relationships/hyperlink" Target="https://thebiogrid.org" TargetMode="External"/><Relationship Id="rId11" Type="http://schemas.openxmlformats.org/officeDocument/2006/relationships/hyperlink" Target="mailto:quique@uenf.br" TargetMode="External"/><Relationship Id="rId24" Type="http://schemas.openxmlformats.org/officeDocument/2006/relationships/hyperlink" Target="https://reactome.org" TargetMode="External"/><Relationship Id="rId32" Type="http://schemas.openxmlformats.org/officeDocument/2006/relationships/hyperlink" Target="https://www.ncbi.nlm.nih.gov/geo" TargetMode="External"/><Relationship Id="rId37" Type="http://schemas.openxmlformats.org/officeDocument/2006/relationships/hyperlink" Target="https://consensus.app" TargetMode="External"/><Relationship Id="rId40" Type="http://schemas.openxmlformats.org/officeDocument/2006/relationships/hyperlink" Target="https://elicit.com" TargetMode="External"/><Relationship Id="rId45" Type="http://schemas.openxmlformats.org/officeDocument/2006/relationships/hyperlink" Target="https://github.com/BioCancerInformatics/RCDome" TargetMode="External"/><Relationship Id="rId5" Type="http://schemas.openxmlformats.org/officeDocument/2006/relationships/webSettings" Target="webSettings.xml"/><Relationship Id="rId15" Type="http://schemas.openxmlformats.org/officeDocument/2006/relationships/hyperlink" Target="https://ipcd.biocuckoo.cn" TargetMode="External"/><Relationship Id="rId23" Type="http://schemas.openxmlformats.org/officeDocument/2006/relationships/hyperlink" Target="https://rest.kegg.jp" TargetMode="External"/><Relationship Id="rId28" Type="http://schemas.openxmlformats.org/officeDocument/2006/relationships/hyperlink" Target="https://string-db.org" TargetMode="External"/><Relationship Id="rId36" Type="http://schemas.openxmlformats.org/officeDocument/2006/relationships/hyperlink" Target="https://depmap.org" TargetMode="External"/><Relationship Id="rId49" Type="http://schemas.openxmlformats.org/officeDocument/2006/relationships/theme" Target="theme/theme1.xml"/><Relationship Id="rId10" Type="http://schemas.openxmlformats.org/officeDocument/2006/relationships/hyperlink" Target="mailto:higoralmeida1995@gmail.com" TargetMode="External"/><Relationship Id="rId19" Type="http://schemas.openxmlformats.org/officeDocument/2006/relationships/hyperlink" Target="http://hamdb.scbdd.com" TargetMode="External"/><Relationship Id="rId31" Type="http://schemas.openxmlformats.org/officeDocument/2006/relationships/hyperlink" Target="https://www.cancer.gov/tcga" TargetMode="External"/><Relationship Id="rId44" Type="http://schemas.microsoft.com/office/2018/08/relationships/commentsExtensible" Target="commentsExtensible.xm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openxmlformats.org/officeDocument/2006/relationships/hyperlink" Target="http://chenyclab.com/RCDdb" TargetMode="External"/><Relationship Id="rId22" Type="http://schemas.openxmlformats.org/officeDocument/2006/relationships/hyperlink" Target="http://www.jianglab.cn/ncFO" TargetMode="External"/><Relationship Id="rId27" Type="http://schemas.openxmlformats.org/officeDocument/2006/relationships/hyperlink" Target="https://www.wikipathways.org" TargetMode="External"/><Relationship Id="rId30" Type="http://schemas.openxmlformats.org/officeDocument/2006/relationships/hyperlink" Target="https://eutils.ncbi.nlm.nih.gov" TargetMode="External"/><Relationship Id="rId35" Type="http://schemas.openxmlformats.org/officeDocument/2006/relationships/hyperlink" Target="https://www.depmap.org/portal/gdsc" TargetMode="External"/><Relationship Id="rId43" Type="http://schemas.microsoft.com/office/2016/09/relationships/commentsIds" Target="commentsIds.xml"/><Relationship Id="rId48" Type="http://schemas.microsoft.com/office/2011/relationships/people" Target="people.xm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s://ilir.warwick.ac.uk" TargetMode="External"/><Relationship Id="rId25" Type="http://schemas.openxmlformats.org/officeDocument/2006/relationships/hyperlink" Target="https://www.ebi.ac.uk/QuickGO" TargetMode="External"/><Relationship Id="rId33" Type="http://schemas.openxmlformats.org/officeDocument/2006/relationships/hyperlink" Target="https://proteomics.cancer.gov/programs/cptac" TargetMode="External"/><Relationship Id="rId38" Type="http://schemas.openxmlformats.org/officeDocument/2006/relationships/hyperlink" Target="https://rest.genenames.org" TargetMode="External"/><Relationship Id="rId46" Type="http://schemas.openxmlformats.org/officeDocument/2006/relationships/hyperlink" Target="https://github.com/BioCancerInformatics/RCDome" TargetMode="External"/><Relationship Id="rId20" Type="http://schemas.openxmlformats.org/officeDocument/2006/relationships/hyperlink" Target="http://auto2disease.nwsuaflmz.com" TargetMode="External"/><Relationship Id="rId41" Type="http://schemas.openxmlformats.org/officeDocument/2006/relationships/comments" Target="comments.xm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674</TotalTime>
  <Pages>1</Pages>
  <Words>17781</Words>
  <Characters>97798</Characters>
  <Application>Microsoft Office Word</Application>
  <DocSecurity>0</DocSecurity>
  <Lines>814</Lines>
  <Paragraphs>230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115349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152</cp:revision>
  <dcterms:created xsi:type="dcterms:W3CDTF">2013-12-23T23:15:00Z</dcterms:created>
  <dcterms:modified xsi:type="dcterms:W3CDTF">2026-09-12T23:08:00Z</dcterms:modified>
  <cp:category/>
</cp:coreProperties>
</file>