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2"/>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r>
        <w:t>The platform was built in three stages, compile (Channels A–D), validate (Phase 2A–2G), and govern (Phase 3), followed by the web application. Each stage is described in turn.</w:t>
      </w: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r>
        <w:t>The platform was built in three stages, compile (Channels A–D), validate (Phase 2A–2G), and govern (Phase 3), followed by the web application. Each stage is described in turn.</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t>RCD Form Vocabulary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2A/D)</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w:t>
      </w:r>
      <w:r w:rsidRPr="009B500E">
        <w:rPr>
          <w:rFonts w:asciiTheme="majorHAnsi" w:hAnsiTheme="majorHAnsi" w:cstheme="majorHAnsi"/>
          <w:szCs w:val="24"/>
        </w:rPr>
        <w:t>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2B)</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pPr/>
      <w:r>
        <w:rPr>
          <w:b/>
        </w:rPr>
        <w:t>Phase 2C: Full-Text Europe PMC Recovery</w:t>
      </w: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r w:rsidRPr="009B500E">
        <w:rPr>
          <w:rFonts w:asciiTheme="majorHAnsi" w:hAnsiTheme="majorHAnsi" w:cstheme="majorHAnsi"/>
          <w:bCs/>
          <w:szCs w:val="24"/>
        </w:rPr>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t>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