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(generic/umbrella/generic/umbrella/taxon).</w:t>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16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16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w:t>
      </w:r>
      <w:r w:rsidRPr="000D6250">
        <w:rPr>
          <w:rFonts w:asciiTheme="majorHAnsi" w:hAnsiTheme="majorHAnsi" w:cstheme="majorHAnsi"/>
          <w:b/>
          <w:color w:val="auto"/>
          <w:szCs w:val="24"/>
          <w:lang w:val="es-CO"/>
        </w:rPr>
        <w:t>19</w:t>
      </w:r>
      <w:r w:rsidRPr="000D6250">
        <w:rPr>
          <w:rFonts w:asciiTheme="majorHAnsi" w:hAnsiTheme="majorHAnsi" w:cstheme="majorHAnsi"/>
          <w:color w:val="auto"/>
          <w:szCs w:val="24"/>
          <w:lang w:val="es-CO"/>
        </w:rPr>
        <w:t xml:space="preserve">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/umbrella/</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