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 these 15 plus anoikis, autosis, efferocytosis, mitotic death, and programmed cell death — all retained verbatim in RCDome. Building on this framework, our group compiled gene-level associations for 25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r w:rsidRPr="0022059B">
        <w:rPr>
          <w:rFonts w:asciiTheme="majorHAnsi" w:hAnsiTheme="majorHAnsi" w:cstheme="majorHAnsi"/>
          <w:szCs w:val="24"/>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rPr>
      </w:r>
      <w:r w:rsidRPr="0022059B">
        <w:rPr>
          <w:rFonts w:asciiTheme="majorHAnsi" w:hAnsiTheme="majorHAnsi" w:cstheme="majorHAnsi"/>
          <w:szCs w:val="24"/>
          <w:highlight w:val="yellow"/>
        </w:rPr>
      </w:r>
      <w:r w:rsidRPr="0022059B">
        <w:rPr>
          <w:rFonts w:asciiTheme="majorHAnsi" w:hAnsiTheme="majorHAnsi" w:cstheme="majorHAnsi"/>
          <w:szCs w:val="24"/>
        </w:rPr>
      </w:r>
      <w:r w:rsidR="0022059B">
        <w:rPr>
          <w:rFonts w:asciiTheme="majorHAnsi" w:hAnsiTheme="majorHAnsi" w:cstheme="majorHAnsi"/>
          <w:szCs w:val="24"/>
        </w:rPr>
      </w:r>
      <w:r w:rsidRPr="0022059B">
        <w:rPr>
          <w:rFonts w:asciiTheme="majorHAnsi" w:hAnsiTheme="majorHAnsi" w:cstheme="majorHAnsi"/>
          <w:szCs w:val="24"/>
        </w:rPr>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 the complete evaluation architecture — RCD entity classification, gene–RCD association evidence, and pipeline quality gates — is summarized in Supplementary Figure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RS1–RS6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RS1 extent of research (25%), RS2 direct involvement (25%), RS3 impact on cell/tissue homeostasis (20%), RS4 emerging potential (15%), RS5 biological significance (10%), and RS6 pathophysiological relevance (5%) —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 cuproptosis, disulfidptosis, methuosis, oxeiptosis, paraptosis, alkaliptosis, NECSO, mitoxyperilysis, and triaptosis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Pr>
          <w:i/>
        </w:rPr>
      </w:r>
      <w:r/>
      <w:r>
        <w:rPr>
          <w:i/>
        </w:rPr>
      </w:r>
      <w:r/>
      <w:r>
        <w:rPr>
          <w:i/>
        </w:rPr>
      </w:r>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(0.25·RS1 + 0.25·RS2 + 0.20·RS3 + 0.15·RS4 + 0.10·RS5 + 0.05·RS6) recomputed bitwise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(Figure 1).</w:t>
      </w:r>
      <w:r w:rsidR="00635000">
        <w:rPr>
          <w:rFonts w:asciiTheme="majorHAnsi" w:hAnsiTheme="majorHAnsi" w:cstheme="majorHAnsi"/>
          <w:szCs w:val="24"/>
        </w:rPr>
      </w:r>
      <w:r w:rsidRPr="009B500E">
        <w:rPr>
          <w:rFonts w:asciiTheme="majorHAnsi" w:hAnsiTheme="majorHAnsi" w:cstheme="majorHAnsi"/>
          <w:szCs w:val="24"/>
        </w:rPr>
      </w:r>
      <w:r w:rsidRPr="009B500E">
        <w:rPr>
          <w:rFonts w:asciiTheme="majorHAnsi" w:hAnsiTheme="majorHAnsi" w:cstheme="majorHAnsi"/>
          <w:szCs w:val="24"/>
          <w:highlight w:val="green"/>
        </w:rPr>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 Floatptosis and Lysozincrosis as a cell-type program (L4) and a subtype (L2), respectively, and Metalloptosis as an umbrella term — completing the 53-entity vocabulary.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7–10, CT2 = 4–6, CT3 = 2–3, CT4 = 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 PMID 34907160) 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hyperlink r:id="rId39">
        <w:r>
          <w:rPr>
            <w:rStyle w:val="Hyperlink"/>
          </w:rPr>
          <w:t>https://pcm2019.shinyapps.io/XDeathDB</w:t>
        </w:r>
      </w:hyperlink>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r w:rsidR="00495FA3">
        <w:rPr>
          <w:rFonts w:asciiTheme="majorHAnsi" w:hAnsiTheme="majorHAnsi" w:cstheme="majorHAnsi"/>
          <w:szCs w:val="24"/>
        </w:rPr>
      </w:r>
      <w:r w:rsidRPr="009B500E">
        <w:rPr>
          <w:rFonts w:asciiTheme="majorHAnsi" w:hAnsiTheme="majorHAnsi" w:cstheme="majorHAnsi"/>
          <w:szCs w:val="24"/>
        </w:rPr>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same 26-pair ground-truth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19 RCD modalities, 7 subtypes, 2 triggers, 13 functional/contextual categories, and 12 generic/umbrella/taxon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r w:rsidRPr="009B500E">
        <w:rPr>
          <w:rFonts w:asciiTheme="majorHAnsi" w:hAnsiTheme="majorHAnsi" w:cstheme="majorHAnsi"/>
          <w:szCs w:val="24"/>
        </w:rPr>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BG0–BG6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Four of the de novo drafts — lysoptosis, PANoptosis, regulated necrosis, and triaptosis —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r>
        <w:rPr>
          <w:i/>
        </w:rPr>
      </w:r>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16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w:t>
      </w:r>
      <w:r w:rsidRPr="009B500E">
        <w:rPr>
          <w:rFonts w:asciiTheme="majorHAnsi" w:hAnsiTheme="majorHAnsi" w:cstheme="majorHAnsi"/>
          <w:szCs w:val="24"/>
        </w:rPr>
        <w:t xml:space="preserv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(+33%), EXECUTOR precision from 47% to 100% (+113%), and traceability from 24% to 98% (+310%) (Figure 2B). The governance framework does not merely improve extraction quality -- it transforms an unreliable AI extraction into a verifiable, auditable evidence pipeline.</w:t>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(19, gold), L2 subtypes (7, blue), L3 triggers (2, green), L4 Functional/contextual (13, purple), and L5 Generic/umbrella/taxon (12, orange) — over a constellation of the 9,265 HGNC-validated genes. This color-coding makes the ontology’s core claim visible at a glance: only 19 of the 53 entities are bona fide RCD modalities; the remaining 37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16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17-pair ground truth, and the 26-pair benchmark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Figure 1. RCDome compilation and validation pipeline. </w:t>
      </w:r>
      <w:r w:rsidRPr="002E2E0A">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four complementary channels: Channel A (programmatic PubMed Boolean searches) maximizes recall; Channel B (topic-specific database extraction) provides precision; Channel C (generative-AI-assisted literature screening) captures recent discoveries; and Channel D (manual expert curation) serves as the final arbiter.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ground-truth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ground-truth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