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644F" w14:textId="77777777" w:rsidR="00784529" w:rsidRPr="00CD1CF5" w:rsidRDefault="00784529" w:rsidP="00CD1CF5">
      <w:pPr>
        <w:pStyle w:val="Ttulo1"/>
        <w:spacing w:before="0" w:line="240" w:lineRule="auto"/>
        <w:jc w:val="center"/>
        <w:rPr>
          <w:rFonts w:cstheme="majorHAnsi"/>
          <w:sz w:val="24"/>
          <w:szCs w:val="24"/>
        </w:rPr>
      </w:pPr>
      <w:r w:rsidRPr="00CD1CF5">
        <w:rPr>
          <w:rFonts w:cstheme="majorHAnsi"/>
          <w:sz w:val="24"/>
          <w:szCs w:val="24"/>
        </w:rPr>
        <w:t>SUPPLEMENTARY INFORMATION</w:t>
      </w:r>
    </w:p>
    <w:p w14:paraId="05A2FBDA" w14:textId="77777777" w:rsidR="00784529" w:rsidRPr="00CD1CF5" w:rsidRDefault="00784529" w:rsidP="00CD1CF5">
      <w:pPr>
        <w:pStyle w:val="Ttulo1"/>
        <w:spacing w:before="0" w:line="240" w:lineRule="auto"/>
        <w:rPr>
          <w:rFonts w:cstheme="majorHAnsi"/>
          <w:sz w:val="24"/>
          <w:szCs w:val="24"/>
        </w:rPr>
      </w:pPr>
    </w:p>
    <w:p w14:paraId="58A482CE" w14:textId="77777777" w:rsidR="00784529" w:rsidRPr="00CD1CF5" w:rsidRDefault="00784529" w:rsidP="00CD1CF5">
      <w:pPr>
        <w:pStyle w:val="Ttulo1"/>
        <w:spacing w:before="0" w:line="240" w:lineRule="auto"/>
        <w:rPr>
          <w:rFonts w:cstheme="majorHAnsi"/>
          <w:sz w:val="24"/>
          <w:szCs w:val="24"/>
        </w:rPr>
      </w:pPr>
      <w:r w:rsidRPr="00CD1CF5">
        <w:rPr>
          <w:rFonts w:cstheme="majorHAnsi"/>
          <w:sz w:val="24"/>
          <w:szCs w:val="24"/>
        </w:rPr>
        <w:t>RCDome: A Multi-Database Human Gene Atlas of Regulated Cell Death</w:t>
      </w:r>
    </w:p>
    <w:p w14:paraId="3A3B03E9" w14:textId="77777777" w:rsidR="00784529" w:rsidRPr="00CD1CF5" w:rsidRDefault="00784529" w:rsidP="00CD1CF5">
      <w:pPr>
        <w:spacing w:after="0" w:line="240" w:lineRule="auto"/>
        <w:rPr>
          <w:rFonts w:asciiTheme="majorHAnsi" w:hAnsiTheme="majorHAnsi" w:cstheme="majorHAnsi"/>
          <w:b/>
          <w:bCs/>
          <w:szCs w:val="24"/>
        </w:rPr>
      </w:pPr>
    </w:p>
    <w:p w14:paraId="0511CAC7"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Running title:</w:t>
      </w:r>
      <w:r w:rsidRPr="00CD1CF5">
        <w:rPr>
          <w:rFonts w:asciiTheme="majorHAnsi" w:hAnsiTheme="majorHAnsi" w:cstheme="majorHAnsi"/>
          <w:szCs w:val="24"/>
        </w:rPr>
        <w:t xml:space="preserve"> RCDome: Human RCD Gene Atlas</w:t>
      </w:r>
    </w:p>
    <w:p w14:paraId="169CF290"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Keywords</w:t>
      </w:r>
      <w:r w:rsidRPr="00CD1CF5">
        <w:rPr>
          <w:rFonts w:asciiTheme="majorHAnsi" w:hAnsiTheme="majorHAnsi" w:cstheme="majorHAnsi"/>
          <w:szCs w:val="24"/>
        </w:rPr>
        <w:t>: regulated cell death, human gene atlas, knowledge platform, multi-database integration, operational definitions, traceability</w:t>
      </w:r>
    </w:p>
    <w:p w14:paraId="1E122F9E" w14:textId="77777777" w:rsidR="00784529" w:rsidRPr="00CD1CF5" w:rsidRDefault="00784529" w:rsidP="00CD1CF5">
      <w:pPr>
        <w:spacing w:after="0" w:line="240" w:lineRule="auto"/>
        <w:rPr>
          <w:rFonts w:asciiTheme="majorHAnsi" w:hAnsiTheme="majorHAnsi" w:cstheme="majorHAnsi"/>
          <w:szCs w:val="24"/>
        </w:rPr>
      </w:pPr>
    </w:p>
    <w:p w14:paraId="3AB987CE"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Emanuell Rodrigues de Souza</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Victor dos Santos Lopes</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Higor Almeida Cordeiro Nogueira, and Enrique Medina-Acosta*</w:t>
      </w:r>
    </w:p>
    <w:p w14:paraId="7A9BC7A5" w14:textId="77777777" w:rsidR="00784529" w:rsidRPr="00CD1CF5" w:rsidRDefault="00784529" w:rsidP="00CD1CF5">
      <w:pPr>
        <w:spacing w:after="0" w:line="240" w:lineRule="auto"/>
        <w:rPr>
          <w:rFonts w:asciiTheme="majorHAnsi" w:hAnsiTheme="majorHAnsi" w:cstheme="majorHAnsi"/>
          <w:szCs w:val="24"/>
          <w:lang w:val="pt-BR"/>
        </w:rPr>
      </w:pPr>
    </w:p>
    <w:p w14:paraId="4546EEAA"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Laboratório de Biotecnologia, Centro de Biociências e Biotecnologia, Universidade Estadual do Norte Fluminense, Avenida Alberto Lamego 2000, Parque California, Campos dos Goytacazes, RJ, CEP 28015-602, Brazil.</w:t>
      </w:r>
    </w:p>
    <w:p w14:paraId="4D3ED4FC" w14:textId="77777777" w:rsidR="00784529" w:rsidRPr="00CD1CF5" w:rsidRDefault="00784529" w:rsidP="00CD1CF5">
      <w:pPr>
        <w:spacing w:after="0" w:line="240" w:lineRule="auto"/>
        <w:rPr>
          <w:rFonts w:asciiTheme="majorHAnsi" w:hAnsiTheme="majorHAnsi" w:cstheme="majorHAnsi"/>
          <w:szCs w:val="24"/>
          <w:lang w:val="pt-BR"/>
        </w:rPr>
      </w:pPr>
    </w:p>
    <w:p w14:paraId="7E7DB098"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w:t>
      </w:r>
      <w:r w:rsidRPr="00CD1CF5">
        <w:rPr>
          <w:rFonts w:asciiTheme="majorHAnsi" w:hAnsiTheme="majorHAnsi" w:cstheme="majorHAnsi"/>
          <w:b/>
          <w:bCs/>
          <w:szCs w:val="24"/>
          <w:lang w:val="pt-BR"/>
        </w:rPr>
        <w:t>Corresponding author</w:t>
      </w:r>
      <w:r w:rsidRPr="00CD1CF5">
        <w:rPr>
          <w:rFonts w:asciiTheme="majorHAnsi" w:hAnsiTheme="majorHAnsi" w:cstheme="majorHAnsi"/>
          <w:szCs w:val="24"/>
          <w:lang w:val="pt-BR"/>
        </w:rPr>
        <w:t xml:space="preserve">: Enrique Medina-Acosta: </w:t>
      </w:r>
      <w:hyperlink r:id="rId8" w:history="1">
        <w:r w:rsidRPr="00CD1CF5">
          <w:rPr>
            <w:rStyle w:val="Hyperlink"/>
            <w:rFonts w:asciiTheme="majorHAnsi" w:hAnsiTheme="majorHAnsi" w:cstheme="majorHAnsi"/>
            <w:szCs w:val="24"/>
            <w:lang w:val="pt-BR"/>
          </w:rPr>
          <w:t>quique@uenf.br</w:t>
        </w:r>
      </w:hyperlink>
    </w:p>
    <w:p w14:paraId="36ECAA62" w14:textId="77777777" w:rsidR="00784529" w:rsidRPr="00CD1CF5" w:rsidRDefault="00784529" w:rsidP="00CD1CF5">
      <w:pPr>
        <w:spacing w:after="0" w:line="240" w:lineRule="auto"/>
        <w:rPr>
          <w:rFonts w:asciiTheme="majorHAnsi" w:hAnsiTheme="majorHAnsi" w:cstheme="majorHAnsi"/>
          <w:szCs w:val="24"/>
          <w:lang w:val="pt-BR"/>
        </w:rPr>
      </w:pPr>
    </w:p>
    <w:p w14:paraId="3051527C"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b/>
          <w:bCs/>
          <w:szCs w:val="24"/>
          <w:lang w:val="pt-BR"/>
        </w:rPr>
        <w:t>Author e-mails</w:t>
      </w:r>
      <w:r w:rsidRPr="00CD1CF5">
        <w:rPr>
          <w:rFonts w:asciiTheme="majorHAnsi" w:hAnsiTheme="majorHAnsi" w:cstheme="majorHAnsi"/>
          <w:szCs w:val="24"/>
          <w:lang w:val="pt-BR"/>
        </w:rPr>
        <w:t>:</w:t>
      </w:r>
    </w:p>
    <w:p w14:paraId="3AD63391"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Emanuell Rodrigues de Souza: </w:t>
      </w:r>
      <w:hyperlink r:id="rId9" w:history="1">
        <w:r w:rsidRPr="00CD1CF5">
          <w:rPr>
            <w:rStyle w:val="Hyperlink"/>
            <w:rFonts w:asciiTheme="majorHAnsi" w:hAnsiTheme="majorHAnsi" w:cstheme="majorHAnsi"/>
            <w:szCs w:val="24"/>
            <w:lang w:val="pt-BR"/>
          </w:rPr>
          <w:t>souza.ers00@gmail.com</w:t>
        </w:r>
      </w:hyperlink>
    </w:p>
    <w:p w14:paraId="46851752"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Victor dos Santos Lopes: </w:t>
      </w:r>
      <w:hyperlink r:id="rId10" w:history="1">
        <w:r w:rsidRPr="00CD1CF5">
          <w:rPr>
            <w:rStyle w:val="Hyperlink"/>
            <w:rFonts w:asciiTheme="majorHAnsi" w:hAnsiTheme="majorHAnsi" w:cstheme="majorHAnsi"/>
            <w:szCs w:val="24"/>
            <w:lang w:val="pt-BR"/>
          </w:rPr>
          <w:t>victor94santos.lopes@gmail.com</w:t>
        </w:r>
      </w:hyperlink>
    </w:p>
    <w:p w14:paraId="7ADC6FDD"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Higor Almeida Cordeiro Nogueira: </w:t>
      </w:r>
      <w:hyperlink r:id="rId11" w:history="1">
        <w:r w:rsidRPr="00CD1CF5">
          <w:rPr>
            <w:rStyle w:val="Hyperlink"/>
            <w:rFonts w:asciiTheme="majorHAnsi" w:hAnsiTheme="majorHAnsi" w:cstheme="majorHAnsi"/>
            <w:szCs w:val="24"/>
            <w:lang w:val="pt-BR"/>
          </w:rPr>
          <w:t>higoralmeida1995@gmail.com</w:t>
        </w:r>
      </w:hyperlink>
    </w:p>
    <w:p w14:paraId="75BC71A2"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Enrique Medina-Acosta: </w:t>
      </w:r>
      <w:hyperlink r:id="rId12" w:history="1">
        <w:r w:rsidRPr="00CD1CF5">
          <w:rPr>
            <w:rStyle w:val="Hyperlink"/>
            <w:rFonts w:asciiTheme="majorHAnsi" w:hAnsiTheme="majorHAnsi" w:cstheme="majorHAnsi"/>
            <w:szCs w:val="24"/>
          </w:rPr>
          <w:t>quique@uenf.br</w:t>
        </w:r>
      </w:hyperlink>
    </w:p>
    <w:p w14:paraId="596059E6" w14:textId="77777777" w:rsidR="00784529" w:rsidRPr="00CD1CF5" w:rsidRDefault="00784529" w:rsidP="00CD1CF5">
      <w:pPr>
        <w:spacing w:after="0" w:line="240" w:lineRule="auto"/>
        <w:rPr>
          <w:rFonts w:asciiTheme="majorHAnsi" w:hAnsiTheme="majorHAnsi" w:cstheme="majorHAnsi"/>
          <w:szCs w:val="24"/>
        </w:rPr>
      </w:pPr>
    </w:p>
    <w:p w14:paraId="6065A4BE" w14:textId="77777777" w:rsidR="00784529" w:rsidRPr="00CD1CF5" w:rsidRDefault="00784529" w:rsidP="00CD1CF5">
      <w:pPr>
        <w:spacing w:after="0" w:line="240" w:lineRule="auto"/>
        <w:rPr>
          <w:rFonts w:asciiTheme="majorHAnsi" w:hAnsiTheme="majorHAnsi" w:cstheme="majorHAnsi"/>
          <w:szCs w:val="24"/>
          <w:vertAlign w:val="superscript"/>
        </w:rPr>
        <w:sectPr w:rsidR="00784529" w:rsidRPr="00CD1CF5" w:rsidSect="00784529">
          <w:headerReference w:type="default" r:id="rId13"/>
          <w:pgSz w:w="11906" w:h="16838"/>
          <w:pgMar w:top="1417" w:right="1417" w:bottom="1417" w:left="1417" w:header="720" w:footer="720" w:gutter="0"/>
          <w:cols w:space="720"/>
          <w:docGrid w:linePitch="360"/>
        </w:sectPr>
      </w:pPr>
      <w:r w:rsidRPr="00CD1CF5">
        <w:rPr>
          <w:rFonts w:asciiTheme="majorHAnsi" w:hAnsiTheme="majorHAnsi" w:cstheme="majorHAnsi"/>
          <w:szCs w:val="24"/>
          <w:vertAlign w:val="superscript"/>
        </w:rPr>
        <w:t xml:space="preserve"># </w:t>
      </w:r>
      <w:r w:rsidRPr="00CD1CF5">
        <w:rPr>
          <w:rFonts w:asciiTheme="majorHAnsi" w:hAnsiTheme="majorHAnsi" w:cstheme="majorHAnsi"/>
          <w:szCs w:val="24"/>
        </w:rPr>
        <w:t>Authors share first authorship</w:t>
      </w:r>
    </w:p>
    <w:p w14:paraId="366E0536" w14:textId="77777777" w:rsidR="00A92B80" w:rsidRPr="00CD1CF5" w:rsidRDefault="00000000" w:rsidP="00CD1CF5">
      <w:pPr>
        <w:pStyle w:val="Ttulo1"/>
        <w:spacing w:before="0" w:line="240" w:lineRule="auto"/>
        <w:rPr>
          <w:rFonts w:cstheme="majorHAnsi"/>
          <w:sz w:val="24"/>
          <w:szCs w:val="24"/>
        </w:rPr>
      </w:pPr>
      <w:r w:rsidRPr="00CD1CF5">
        <w:rPr>
          <w:rFonts w:cstheme="majorHAnsi"/>
          <w:sz w:val="24"/>
          <w:szCs w:val="24"/>
        </w:rPr>
        <w:lastRenderedPageBreak/>
        <w:t>Supplementary Notes</w:t>
      </w:r>
    </w:p>
    <w:p w14:paraId="35CAA995" w14:textId="77777777" w:rsidR="00BB22A7" w:rsidRPr="00CD1CF5" w:rsidRDefault="00BB22A7" w:rsidP="00CD1CF5">
      <w:pPr>
        <w:pStyle w:val="Ttulo1"/>
        <w:spacing w:before="0" w:line="240" w:lineRule="auto"/>
        <w:rPr>
          <w:rFonts w:cstheme="majorHAnsi"/>
          <w:sz w:val="24"/>
          <w:szCs w:val="24"/>
        </w:rPr>
      </w:pPr>
    </w:p>
    <w:p w14:paraId="3AD87F1D"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highlight w:val="green"/>
        </w:rPr>
        <w:t>Supplementary Note S1</w:t>
      </w:r>
      <w:r w:rsidRPr="00CD1CF5">
        <w:rPr>
          <w:rFonts w:cstheme="majorHAnsi"/>
          <w:color w:val="auto"/>
          <w:szCs w:val="24"/>
        </w:rPr>
        <w:t xml:space="preserve"> — Canonical-Terminology Pre-Audit and 53-Entity Expert Nomenclature and Ontological Adjudication</w:t>
      </w:r>
    </w:p>
    <w:p w14:paraId="1E91480A"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46856C9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This note documents the governance and quality-control framework applied to RCDome's terminology and ontology: a terminology pre-audit performed before entity-level adjudication, a 53-entity expert nomenclature and ontological adjudication, and a project-wide propagation verification that closes each audit.</w:t>
      </w:r>
    </w:p>
    <w:p w14:paraId="07A2D4B7"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The canonical-terminology pre-audit</w:t>
      </w:r>
    </w:p>
    <w:p w14:paraId="0CC7226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Before any biological adjudication, RCDome terminology was subjected to a dedicated </w:t>
      </w:r>
      <w:r w:rsidRPr="00CD1CF5">
        <w:rPr>
          <w:rFonts w:asciiTheme="majorHAnsi" w:hAnsiTheme="majorHAnsi" w:cstheme="majorHAnsi"/>
          <w:b/>
          <w:color w:val="auto"/>
          <w:szCs w:val="24"/>
        </w:rPr>
        <w:t>pre-audit</w:t>
      </w:r>
      <w:r w:rsidRPr="00CD1CF5">
        <w:rPr>
          <w:rFonts w:asciiTheme="majorHAnsi" w:hAnsiTheme="majorHAnsi" w:cstheme="majorHAnsi"/>
          <w:color w:val="auto"/>
          <w:szCs w:val="24"/>
        </w:rPr>
        <w:t xml:space="preserve"> of the word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and its variants across the manuscript, supplementary information, tables, decoder, matrix metadata, and the web application.</w:t>
      </w:r>
    </w:p>
    <w:p w14:paraId="4E7EE26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risk being managed was semantic conflation: a reader could interpret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(vocabulary normalization) as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(biological establishment), and thereby read the 53-entity vocabulary as a list of 53 established cell-death modalities.</w:t>
      </w:r>
    </w:p>
    <w:p w14:paraId="74BFF98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pre-audit therefore required that </w:t>
      </w:r>
      <w:r w:rsidRPr="00CD1CF5">
        <w:rPr>
          <w:rFonts w:asciiTheme="majorHAnsi" w:hAnsiTheme="majorHAnsi" w:cstheme="majorHAnsi"/>
          <w:b/>
          <w:color w:val="auto"/>
          <w:szCs w:val="24"/>
        </w:rPr>
        <w:t>every</w:t>
      </w:r>
      <w:r w:rsidRPr="00CD1CF5">
        <w:rPr>
          <w:rFonts w:asciiTheme="majorHAnsi" w:hAnsiTheme="majorHAnsi" w:cstheme="majorHAnsi"/>
          <w:color w:val="auto"/>
          <w:szCs w:val="24"/>
        </w:rPr>
        <w:t xml:space="preserve"> occurrence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be adjudicated semantically into one of four categories:</w:t>
      </w:r>
    </w:p>
    <w:p w14:paraId="03D4C32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vocabulary normalization</w:t>
      </w:r>
      <w:r w:rsidRPr="00CD1CF5">
        <w:rPr>
          <w:rFonts w:asciiTheme="majorHAnsi" w:hAnsiTheme="majorHAnsi" w:cstheme="majorHAnsi"/>
          <w:color w:val="auto"/>
          <w:szCs w:val="24"/>
        </w:rPr>
        <w:t xml:space="preserve"> — the term was renamed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"normalized"</w:t>
      </w:r>
      <w:r w:rsidRPr="00CD1CF5">
        <w:rPr>
          <w:rFonts w:asciiTheme="majorHAnsi" w:hAnsiTheme="majorHAnsi" w:cstheme="majorHAnsi"/>
          <w:color w:val="auto"/>
          <w:szCs w:val="24"/>
        </w:rPr>
        <w:t>;</w:t>
      </w:r>
    </w:p>
    <w:p w14:paraId="144E920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neutral entity designation</w:t>
      </w:r>
      <w:r w:rsidRPr="00CD1CF5">
        <w:rPr>
          <w:rFonts w:asciiTheme="majorHAnsi" w:hAnsiTheme="majorHAnsi" w:cstheme="majorHAnsi"/>
          <w:color w:val="auto"/>
          <w:szCs w:val="24"/>
        </w:rPr>
        <w:t xml:space="preserve"> — the term was replaced by </w:t>
      </w:r>
      <w:r w:rsidRPr="00CD1CF5">
        <w:rPr>
          <w:rFonts w:asciiTheme="majorHAnsi" w:hAnsiTheme="majorHAnsi" w:cstheme="majorHAnsi"/>
          <w:i/>
          <w:color w:val="auto"/>
          <w:szCs w:val="24"/>
        </w:rPr>
        <w:t>"RCD-related entity"</w:t>
      </w:r>
      <w:r w:rsidRPr="00CD1CF5">
        <w:rPr>
          <w:rFonts w:asciiTheme="majorHAnsi" w:hAnsiTheme="majorHAnsi" w:cstheme="majorHAnsi"/>
          <w:color w:val="auto"/>
          <w:szCs w:val="24"/>
        </w:rPr>
        <w:t>;</w:t>
      </w:r>
    </w:p>
    <w:p w14:paraId="25458DA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biological canonicality</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was retained only where the claim of biological establishment was scientifically justified; or</w:t>
      </w:r>
    </w:p>
    <w:p w14:paraId="785841D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bona fide modality status</w:t>
      </w:r>
      <w:r w:rsidRPr="00CD1CF5">
        <w:rPr>
          <w:rFonts w:asciiTheme="majorHAnsi" w:hAnsiTheme="majorHAnsi" w:cstheme="majorHAnsi"/>
          <w:color w:val="auto"/>
          <w:szCs w:val="24"/>
        </w:rPr>
        <w:t xml:space="preserve"> — the term </w:t>
      </w:r>
      <w:r w:rsidRPr="00CD1CF5">
        <w:rPr>
          <w:rFonts w:asciiTheme="majorHAnsi" w:hAnsiTheme="majorHAnsi" w:cstheme="majorHAnsi"/>
          <w:i/>
          <w:color w:val="auto"/>
          <w:szCs w:val="24"/>
        </w:rPr>
        <w:t>"bona fide RCD modality"</w:t>
      </w:r>
      <w:r w:rsidRPr="00CD1CF5">
        <w:rPr>
          <w:rFonts w:asciiTheme="majorHAnsi" w:hAnsiTheme="majorHAnsi" w:cstheme="majorHAnsi"/>
          <w:color w:val="auto"/>
          <w:szCs w:val="24"/>
        </w:rPr>
        <w:t xml:space="preserve"> was used for L1 entities admitted through the hard gates.</w:t>
      </w:r>
    </w:p>
    <w:p w14:paraId="6CE1DC5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A global find-and-replace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was deliberately prohibited, because it would have altered legitimate biological uses (e.g., </w:t>
      </w:r>
      <w:r w:rsidRPr="00CD1CF5">
        <w:rPr>
          <w:rFonts w:asciiTheme="majorHAnsi" w:hAnsiTheme="majorHAnsi" w:cstheme="majorHAnsi"/>
          <w:i/>
          <w:color w:val="auto"/>
          <w:szCs w:val="24"/>
        </w:rPr>
        <w:t>"canonical executors"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apoptosis"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inflammasome"</w:t>
      </w:r>
      <w:r w:rsidRPr="00CD1CF5">
        <w:rPr>
          <w:rFonts w:asciiTheme="majorHAnsi" w:hAnsiTheme="majorHAnsi" w:cstheme="majorHAnsi"/>
          <w:color w:val="auto"/>
          <w:szCs w:val="24"/>
        </w:rPr>
        <w:t>) and corrupted scientific meaning.</w:t>
      </w:r>
    </w:p>
    <w:p w14:paraId="2FCE171F"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The 53-entity expert nomenclature and ontological adjudication</w:t>
      </w:r>
    </w:p>
    <w:p w14:paraId="1059D84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Each of the 53 canonicalized RCD-related entities was then assessed against a five-level ontology and a set of hard gates.</w:t>
      </w:r>
    </w:p>
    <w:p w14:paraId="61CBEC3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 xml:space="preserve">Ontology levels. L1 (bona fide RCD modality — distinct causal machinery and functional necessity); L2 (subtype — mechanistic subdivision of a parent modality); L3 (trigger — an initiating event that is not itself a complete death mechanism); L4 (functional/contextual — context-dependent programs, morphological outcomes, </w:t>
      </w:r>
      <w:r w:rsidRPr="00CD1CF5">
        <w:rPr>
          <w:rFonts w:asciiTheme="majorHAnsi" w:hAnsiTheme="majorHAnsi" w:cstheme="majorHAnsi"/>
          <w:b/>
          <w:color w:val="auto"/>
          <w:szCs w:val="24"/>
        </w:rPr>
        <w:lastRenderedPageBreak/>
        <w:t>cell-type-specific and differentiation-associated phenomena); L5 (generic/umbrella/taxon).</w:t>
      </w:r>
    </w:p>
    <w:p w14:paraId="67320FE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Hard biological gates (BG0–BG6). BG0 whole-cell death; BG1 identifiable causal machinery (obligatory for L1); BG2 functional necessity and distinguishability (obligatory for L1); BG3 supportive phenotype/trigger; BG4 published naming/provenance; BG5 independent replication (a maturity input); BG6 species scope. Naming alone (BG4) is not evidence of mechanistic independence.</w:t>
      </w:r>
    </w:p>
    <w:p w14:paraId="0699493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Association vs modality.</w:t>
      </w:r>
      <w:r w:rsidRPr="00CD1CF5">
        <w:rPr>
          <w:rFonts w:asciiTheme="majorHAnsi" w:hAnsiTheme="majorHAnsi" w:cstheme="majorHAnsi"/>
          <w:color w:val="auto"/>
          <w:szCs w:val="24"/>
        </w:rPr>
        <w:t xml:space="preserve"> Two dimensions are kept separate: (i) whether a gene is associated with an RCD-related entity in the evidence base, and (ii) whether the entity itself qualifies as a bona fide RCD modality. Evidence of the former does not establish the latter. Accordingly, the associated-gene list is not described as a </w:t>
      </w:r>
      <w:r w:rsidRPr="00CD1CF5">
        <w:rPr>
          <w:rFonts w:asciiTheme="majorHAnsi" w:hAnsiTheme="majorHAnsi" w:cstheme="majorHAnsi"/>
          <w:i/>
          <w:color w:val="auto"/>
          <w:szCs w:val="24"/>
        </w:rPr>
        <w:t>"death signature"</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"death machinery"</w:t>
      </w:r>
      <w:r w:rsidRPr="00CD1CF5">
        <w:rPr>
          <w:rFonts w:asciiTheme="majorHAnsi" w:hAnsiTheme="majorHAnsi" w:cstheme="majorHAnsi"/>
          <w:color w:val="auto"/>
          <w:szCs w:val="24"/>
        </w:rPr>
        <w:t xml:space="preserve"> unless the evidence classification supports that statement; the preferred formulation is </w:t>
      </w:r>
      <w:r w:rsidRPr="00CD1CF5">
        <w:rPr>
          <w:rFonts w:asciiTheme="majorHAnsi" w:hAnsiTheme="majorHAnsi" w:cstheme="majorHAnsi"/>
          <w:i/>
          <w:color w:val="auto"/>
          <w:szCs w:val="24"/>
        </w:rPr>
        <w:t>"genes associated with [entity] in RCDome"</w:t>
      </w:r>
      <w:r w:rsidRPr="00CD1CF5">
        <w:rPr>
          <w:rFonts w:asciiTheme="majorHAnsi" w:hAnsiTheme="majorHAnsi" w:cstheme="majorHAnsi"/>
          <w:color w:val="auto"/>
          <w:szCs w:val="24"/>
        </w:rPr>
        <w:t>.</w:t>
      </w:r>
    </w:p>
    <w:p w14:paraId="419BA31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Uncertainty and provenance.</w:t>
      </w:r>
      <w:r w:rsidRPr="00CD1CF5">
        <w:rPr>
          <w:rFonts w:asciiTheme="majorHAnsi" w:hAnsiTheme="majorHAnsi" w:cstheme="majorHAnsi"/>
          <w:color w:val="auto"/>
          <w:szCs w:val="24"/>
        </w:rPr>
        <w:t xml:space="preserve"> Entities that fail L1 admission are not deleted. They are retained at an appropriate level (contextual category, morphology, subtype, trigger, umbrella, taxon-specific concept, legacy term, or provisional/emerging entity) with explicit provenance. Database inclusion is never treated as biological endorsement.</w:t>
      </w:r>
    </w:p>
    <w:p w14:paraId="0ACBB153"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The propagation governance gate</w:t>
      </w:r>
    </w:p>
    <w:p w14:paraId="435E711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audit established a rule that has since governed all subsequent corrections: </w:t>
      </w:r>
      <w:r w:rsidRPr="00CD1CF5">
        <w:rPr>
          <w:rFonts w:asciiTheme="majorHAnsi" w:hAnsiTheme="majorHAnsi" w:cstheme="majorHAnsi"/>
          <w:b/>
          <w:color w:val="auto"/>
          <w:szCs w:val="24"/>
        </w:rPr>
        <w:t>a change is not considered implemented when the authoritative source has been corrected alone.</w:t>
      </w:r>
    </w:p>
    <w:p w14:paraId="1924E16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Every accepted adjudication must be propagated:</w:t>
      </w:r>
    </w:p>
    <w:p w14:paraId="36E753A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horizontally</w:t>
      </w:r>
      <w:r w:rsidRPr="00CD1CF5">
        <w:rPr>
          <w:rFonts w:asciiTheme="majorHAnsi" w:hAnsiTheme="majorHAnsi" w:cstheme="majorHAnsi"/>
          <w:color w:val="auto"/>
          <w:szCs w:val="24"/>
        </w:rPr>
        <w:t xml:space="preserve"> — to every artifact that reproduces the affected information (manuscript, supplementary information, supplementary tables, decoder, unified matrix, database fields, figures and legends, application components, landing pages, explanatory text, and downloadable outputs); and</w:t>
      </w:r>
    </w:p>
    <w:p w14:paraId="638017F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vertically</w:t>
      </w:r>
      <w:r w:rsidRPr="00CD1CF5">
        <w:rPr>
          <w:rFonts w:asciiTheme="majorHAnsi" w:hAnsiTheme="majorHAnsi" w:cstheme="majorHAnsi"/>
          <w:color w:val="auto"/>
          <w:szCs w:val="24"/>
        </w:rPr>
        <w:t xml:space="preserve"> — through every dependent representation derived from it (counts, group distributions, summaries, labels, colors, tooltips, and narrative prose).</w:t>
      </w:r>
    </w:p>
    <w:p w14:paraId="4424155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For example, reclassifying one entity from L4 to L5 is not complete until the entity's classification, the level counts (e.g., the L4/L5 totals), the figures, the legends, the landing-page summaries, the supplementary tables, and the application display have all been updated and independently verified.</w:t>
      </w:r>
    </w:p>
    <w:p w14:paraId="3754077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Any residual disagreement between the authoritative adjudicated source and a downstream artifact is treated as a propagation failure and recorded (original state, adjudicated state, affected dependency, stale representation, corrective action, and post-correction verification), never silently repaired.</w:t>
      </w:r>
    </w:p>
    <w:p w14:paraId="2DB058E5"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Traceability and reproducibility</w:t>
      </w:r>
    </w:p>
    <w:p w14:paraId="614F2726" w14:textId="77777777" w:rsidR="00BB22A7" w:rsidRPr="00CD1CF5" w:rsidRDefault="00BB22A7" w:rsidP="00CD1CF5">
      <w:pPr>
        <w:spacing w:line="240" w:lineRule="auto"/>
        <w:rPr>
          <w:rFonts w:asciiTheme="majorHAnsi" w:hAnsiTheme="majorHAnsi" w:cstheme="majorHAnsi"/>
          <w:szCs w:val="24"/>
        </w:rPr>
      </w:pPr>
      <w:r w:rsidRPr="00CD1CF5">
        <w:rPr>
          <w:rFonts w:asciiTheme="majorHAnsi" w:hAnsiTheme="majorHAnsi" w:cstheme="majorHAnsi"/>
          <w:color w:val="auto"/>
          <w:szCs w:val="24"/>
        </w:rPr>
        <w:t xml:space="preserve">Every change carries an audit trail: what changed, why it changed, the prior state, the evidence, and where the consequences were applied. Versions are archived </w:t>
      </w:r>
      <w:r w:rsidRPr="00CD1CF5">
        <w:rPr>
          <w:rFonts w:asciiTheme="majorHAnsi" w:hAnsiTheme="majorHAnsi" w:cstheme="majorHAnsi"/>
          <w:color w:val="auto"/>
          <w:szCs w:val="24"/>
        </w:rPr>
        <w:lastRenderedPageBreak/>
        <w:t>rather than overwritten, preserving the history of the project. This propagation gate (adjudicated → propagated → independently verified) is the final governance check before an audit is declared complete, and it is re-run after any subsequent modification to guarantee internal concordance across the entire RCDome ecosystem.</w:t>
      </w:r>
    </w:p>
    <w:p w14:paraId="349DD477"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highlight w:val="green"/>
        </w:rPr>
        <w:t>Supplementary Note S2</w:t>
      </w:r>
      <w:r w:rsidR="001069E6">
        <w:rPr>
          <w:rFonts w:cstheme="majorHAnsi"/>
          <w:sz w:val="24"/>
          <w:szCs w:val="24"/>
        </w:rPr>
        <w:t xml:space="preserve"> -</w:t>
      </w:r>
      <w:r w:rsidRPr="00CD1CF5">
        <w:rPr>
          <w:rFonts w:cstheme="majorHAnsi"/>
          <w:sz w:val="24"/>
          <w:szCs w:val="24"/>
        </w:rPr>
        <w:t xml:space="preserve"> RCDome: Model-Selection Benchmark (CoT + Self-Provided Loop)</w:t>
      </w:r>
    </w:p>
    <w:p w14:paraId="25ECB625"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model-selection benchmark, which compared three functional-role classifiers on 26 well-established gene-RCD pairs and selected a self-provided governance loop as the role-classification engine.</w:t>
      </w:r>
    </w:p>
    <w:p w14:paraId="051465EA" w14:textId="77777777" w:rsidR="00DB4E22" w:rsidRPr="00CD1CF5" w:rsidRDefault="00DB4E22" w:rsidP="00CD1CF5">
      <w:pPr>
        <w:pStyle w:val="Ttulo2"/>
        <w:spacing w:before="0" w:line="240" w:lineRule="auto"/>
        <w:rPr>
          <w:rFonts w:cstheme="majorHAnsi"/>
          <w:szCs w:val="24"/>
        </w:rPr>
      </w:pPr>
    </w:p>
    <w:p w14:paraId="7A966585"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76C1A343"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with known functional roles, in three strata:</w:t>
      </w:r>
    </w:p>
    <w:p w14:paraId="7DA13C98"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10 true EXECUTORS: </w:t>
      </w:r>
      <w:r w:rsidRPr="00CD1CF5">
        <w:rPr>
          <w:rFonts w:asciiTheme="majorHAnsi" w:hAnsiTheme="majorHAnsi" w:cstheme="majorHAnsi"/>
          <w:i/>
          <w:szCs w:val="24"/>
        </w:rPr>
        <w:t>BAX</w:t>
      </w:r>
      <w:r w:rsidRPr="00CD1CF5">
        <w:rPr>
          <w:rFonts w:asciiTheme="majorHAnsi" w:hAnsiTheme="majorHAnsi" w:cstheme="majorHAnsi"/>
          <w:szCs w:val="24"/>
        </w:rPr>
        <w:t xml:space="preserve">, </w:t>
      </w:r>
      <w:r w:rsidRPr="00CD1CF5">
        <w:rPr>
          <w:rFonts w:asciiTheme="majorHAnsi" w:hAnsiTheme="majorHAnsi" w:cstheme="majorHAnsi"/>
          <w:i/>
          <w:szCs w:val="24"/>
        </w:rPr>
        <w:t>CASP3</w:t>
      </w:r>
      <w:r w:rsidRPr="00CD1CF5">
        <w:rPr>
          <w:rFonts w:asciiTheme="majorHAnsi" w:hAnsiTheme="majorHAnsi" w:cstheme="majorHAnsi"/>
          <w:szCs w:val="24"/>
        </w:rPr>
        <w:t xml:space="preserve">, </w:t>
      </w:r>
      <w:r w:rsidRPr="00CD1CF5">
        <w:rPr>
          <w:rFonts w:asciiTheme="majorHAnsi" w:hAnsiTheme="majorHAnsi" w:cstheme="majorHAnsi"/>
          <w:i/>
          <w:szCs w:val="24"/>
        </w:rPr>
        <w:t>CASP8</w:t>
      </w:r>
      <w:r w:rsidRPr="00CD1CF5">
        <w:rPr>
          <w:rFonts w:asciiTheme="majorHAnsi" w:hAnsiTheme="majorHAnsi" w:cstheme="majorHAnsi"/>
          <w:szCs w:val="24"/>
        </w:rPr>
        <w:t xml:space="preserve">, </w:t>
      </w:r>
      <w:r w:rsidRPr="00CD1CF5">
        <w:rPr>
          <w:rFonts w:asciiTheme="majorHAnsi" w:hAnsiTheme="majorHAnsi" w:cstheme="majorHAnsi"/>
          <w:i/>
          <w:szCs w:val="24"/>
        </w:rPr>
        <w:t>CASP9</w:t>
      </w:r>
      <w:r w:rsidRPr="00CD1CF5">
        <w:rPr>
          <w:rFonts w:asciiTheme="majorHAnsi" w:hAnsiTheme="majorHAnsi" w:cstheme="majorHAnsi"/>
          <w:szCs w:val="24"/>
        </w:rPr>
        <w:t xml:space="preserve">, </w:t>
      </w:r>
      <w:r w:rsidRPr="00CD1CF5">
        <w:rPr>
          <w:rFonts w:asciiTheme="majorHAnsi" w:hAnsiTheme="majorHAnsi" w:cstheme="majorHAnsi"/>
          <w:i/>
          <w:szCs w:val="24"/>
        </w:rPr>
        <w:t>CYCS</w:t>
      </w:r>
      <w:r w:rsidRPr="00CD1CF5">
        <w:rPr>
          <w:rFonts w:asciiTheme="majorHAnsi" w:hAnsiTheme="majorHAnsi" w:cstheme="majorHAnsi"/>
          <w:szCs w:val="24"/>
        </w:rPr>
        <w:t xml:space="preserve"> (Apoptosis); </w:t>
      </w:r>
      <w:r w:rsidRPr="00CD1CF5">
        <w:rPr>
          <w:rFonts w:asciiTheme="majorHAnsi" w:hAnsiTheme="majorHAnsi" w:cstheme="majorHAnsi"/>
          <w:i/>
          <w:szCs w:val="24"/>
        </w:rPr>
        <w:t>MLKL</w:t>
      </w:r>
      <w:r w:rsidRPr="00CD1CF5">
        <w:rPr>
          <w:rFonts w:asciiTheme="majorHAnsi" w:hAnsiTheme="majorHAnsi" w:cstheme="majorHAnsi"/>
          <w:szCs w:val="24"/>
        </w:rPr>
        <w:t xml:space="preserve">, </w:t>
      </w:r>
      <w:r w:rsidRPr="00CD1CF5">
        <w:rPr>
          <w:rFonts w:asciiTheme="majorHAnsi" w:hAnsiTheme="majorHAnsi" w:cstheme="majorHAnsi"/>
          <w:i/>
          <w:szCs w:val="24"/>
        </w:rPr>
        <w:t>RIPK3</w:t>
      </w:r>
      <w:r w:rsidRPr="00CD1CF5">
        <w:rPr>
          <w:rFonts w:asciiTheme="majorHAnsi" w:hAnsiTheme="majorHAnsi" w:cstheme="majorHAnsi"/>
          <w:szCs w:val="24"/>
        </w:rPr>
        <w:t xml:space="preserve"> (Necroptosis); </w:t>
      </w:r>
      <w:r w:rsidRPr="00CD1CF5">
        <w:rPr>
          <w:rFonts w:asciiTheme="majorHAnsi" w:hAnsiTheme="majorHAnsi" w:cstheme="majorHAnsi"/>
          <w:i/>
          <w:szCs w:val="24"/>
        </w:rPr>
        <w:t>GSDMD</w:t>
      </w:r>
      <w:r w:rsidRPr="00CD1CF5">
        <w:rPr>
          <w:rFonts w:asciiTheme="majorHAnsi" w:hAnsiTheme="majorHAnsi" w:cstheme="majorHAnsi"/>
          <w:szCs w:val="24"/>
        </w:rPr>
        <w:t xml:space="preserve">, </w:t>
      </w:r>
      <w:r w:rsidRPr="00CD1CF5">
        <w:rPr>
          <w:rFonts w:asciiTheme="majorHAnsi" w:hAnsiTheme="majorHAnsi" w:cstheme="majorHAnsi"/>
          <w:i/>
          <w:szCs w:val="24"/>
        </w:rPr>
        <w:t>GSDME</w:t>
      </w:r>
      <w:r w:rsidRPr="00CD1CF5">
        <w:rPr>
          <w:rFonts w:asciiTheme="majorHAnsi" w:hAnsiTheme="majorHAnsi" w:cstheme="majorHAnsi"/>
          <w:szCs w:val="24"/>
        </w:rPr>
        <w:t xml:space="preserve">, </w:t>
      </w:r>
      <w:r w:rsidRPr="00CD1CF5">
        <w:rPr>
          <w:rFonts w:asciiTheme="majorHAnsi" w:hAnsiTheme="majorHAnsi" w:cstheme="majorHAnsi"/>
          <w:i/>
          <w:szCs w:val="24"/>
        </w:rPr>
        <w:t>CASP1</w:t>
      </w:r>
      <w:r w:rsidRPr="00CD1CF5">
        <w:rPr>
          <w:rFonts w:asciiTheme="majorHAnsi" w:hAnsiTheme="majorHAnsi" w:cstheme="majorHAnsi"/>
          <w:szCs w:val="24"/>
        </w:rPr>
        <w:t xml:space="preserve"> (Pyroptosis).</w:t>
      </w:r>
    </w:p>
    <w:p w14:paraId="2D9E8BC8"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8 true REGULATORS: </w:t>
      </w:r>
      <w:r w:rsidRPr="00CD1CF5">
        <w:rPr>
          <w:rFonts w:asciiTheme="majorHAnsi" w:hAnsiTheme="majorHAnsi" w:cstheme="majorHAnsi"/>
          <w:i/>
          <w:szCs w:val="24"/>
        </w:rPr>
        <w:t>BCL2</w:t>
      </w:r>
      <w:r w:rsidRPr="00CD1CF5">
        <w:rPr>
          <w:rFonts w:asciiTheme="majorHAnsi" w:hAnsiTheme="majorHAnsi" w:cstheme="majorHAnsi"/>
          <w:szCs w:val="24"/>
        </w:rPr>
        <w:t xml:space="preserve">, </w:t>
      </w:r>
      <w:r w:rsidRPr="00CD1CF5">
        <w:rPr>
          <w:rFonts w:asciiTheme="majorHAnsi" w:hAnsiTheme="majorHAnsi" w:cstheme="majorHAnsi"/>
          <w:i/>
          <w:szCs w:val="24"/>
        </w:rPr>
        <w:t>BCL2L1</w:t>
      </w:r>
      <w:r w:rsidRPr="00CD1CF5">
        <w:rPr>
          <w:rFonts w:asciiTheme="majorHAnsi" w:hAnsiTheme="majorHAnsi" w:cstheme="majorHAnsi"/>
          <w:szCs w:val="24"/>
        </w:rPr>
        <w:t xml:space="preserve">, </w:t>
      </w:r>
      <w:r w:rsidRPr="00CD1CF5">
        <w:rPr>
          <w:rFonts w:asciiTheme="majorHAnsi" w:hAnsiTheme="majorHAnsi" w:cstheme="majorHAnsi"/>
          <w:i/>
          <w:szCs w:val="24"/>
        </w:rPr>
        <w:t>XIAP</w:t>
      </w:r>
      <w:r w:rsidRPr="00CD1CF5">
        <w:rPr>
          <w:rFonts w:asciiTheme="majorHAnsi" w:hAnsiTheme="majorHAnsi" w:cstheme="majorHAnsi"/>
          <w:szCs w:val="24"/>
        </w:rPr>
        <w:t xml:space="preserve">, </w:t>
      </w:r>
      <w:r w:rsidRPr="00CD1CF5">
        <w:rPr>
          <w:rFonts w:asciiTheme="majorHAnsi" w:hAnsiTheme="majorHAnsi" w:cstheme="majorHAnsi"/>
          <w:i/>
          <w:szCs w:val="24"/>
        </w:rPr>
        <w:t>TP53</w:t>
      </w:r>
      <w:r w:rsidRPr="00CD1CF5">
        <w:rPr>
          <w:rFonts w:asciiTheme="majorHAnsi" w:hAnsiTheme="majorHAnsi" w:cstheme="majorHAnsi"/>
          <w:szCs w:val="24"/>
        </w:rPr>
        <w:t xml:space="preserve"> (Apoptosis); </w:t>
      </w:r>
      <w:r w:rsidRPr="00CD1CF5">
        <w:rPr>
          <w:rFonts w:asciiTheme="majorHAnsi" w:hAnsiTheme="majorHAnsi" w:cstheme="majorHAnsi"/>
          <w:i/>
          <w:szCs w:val="24"/>
        </w:rPr>
        <w:t>GPX4</w:t>
      </w:r>
      <w:r w:rsidRPr="00CD1CF5">
        <w:rPr>
          <w:rFonts w:asciiTheme="majorHAnsi" w:hAnsiTheme="majorHAnsi" w:cstheme="majorHAnsi"/>
          <w:szCs w:val="24"/>
        </w:rPr>
        <w:t xml:space="preserve">, </w:t>
      </w:r>
      <w:r w:rsidRPr="00CD1CF5">
        <w:rPr>
          <w:rFonts w:asciiTheme="majorHAnsi" w:hAnsiTheme="majorHAnsi" w:cstheme="majorHAnsi"/>
          <w:i/>
          <w:szCs w:val="24"/>
        </w:rPr>
        <w:t>ACSL4</w:t>
      </w:r>
      <w:r w:rsidRPr="00CD1CF5">
        <w:rPr>
          <w:rFonts w:asciiTheme="majorHAnsi" w:hAnsiTheme="majorHAnsi" w:cstheme="majorHAnsi"/>
          <w:szCs w:val="24"/>
        </w:rPr>
        <w:t xml:space="preserve">, </w:t>
      </w:r>
      <w:r w:rsidRPr="00CD1CF5">
        <w:rPr>
          <w:rFonts w:asciiTheme="majorHAnsi" w:hAnsiTheme="majorHAnsi" w:cstheme="majorHAnsi"/>
          <w:i/>
          <w:szCs w:val="24"/>
        </w:rPr>
        <w:t>AIFM2</w:t>
      </w:r>
      <w:r w:rsidRPr="00CD1CF5">
        <w:rPr>
          <w:rFonts w:asciiTheme="majorHAnsi" w:hAnsiTheme="majorHAnsi" w:cstheme="majorHAnsi"/>
          <w:szCs w:val="24"/>
        </w:rPr>
        <w:t xml:space="preserve"> (Ferroptosis); </w:t>
      </w:r>
      <w:r w:rsidRPr="00CD1CF5">
        <w:rPr>
          <w:rFonts w:asciiTheme="majorHAnsi" w:hAnsiTheme="majorHAnsi" w:cstheme="majorHAnsi"/>
          <w:i/>
          <w:szCs w:val="24"/>
        </w:rPr>
        <w:t>BECN1</w:t>
      </w:r>
      <w:r w:rsidRPr="00CD1CF5">
        <w:rPr>
          <w:rFonts w:asciiTheme="majorHAnsi" w:hAnsiTheme="majorHAnsi" w:cstheme="majorHAnsi"/>
          <w:szCs w:val="24"/>
        </w:rPr>
        <w:t xml:space="preserve"> (Autophagy).</w:t>
      </w:r>
    </w:p>
    <w:p w14:paraId="3665352C"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8 NEGATIVE controls: </w:t>
      </w:r>
      <w:r w:rsidRPr="00CD1CF5">
        <w:rPr>
          <w:rFonts w:asciiTheme="majorHAnsi" w:hAnsiTheme="majorHAnsi" w:cstheme="majorHAnsi"/>
          <w:i/>
          <w:szCs w:val="24"/>
        </w:rPr>
        <w:t>GPX4</w:t>
      </w:r>
      <w:r w:rsidRPr="00CD1CF5">
        <w:rPr>
          <w:rFonts w:asciiTheme="majorHAnsi" w:hAnsiTheme="majorHAnsi" w:cstheme="majorHAnsi"/>
          <w:szCs w:val="24"/>
        </w:rPr>
        <w:t xml:space="preserve">/Pyroptosis, </w:t>
      </w:r>
      <w:r w:rsidRPr="00CD1CF5">
        <w:rPr>
          <w:rFonts w:asciiTheme="majorHAnsi" w:hAnsiTheme="majorHAnsi" w:cstheme="majorHAnsi"/>
          <w:i/>
          <w:szCs w:val="24"/>
        </w:rPr>
        <w:t>MLKL</w:t>
      </w:r>
      <w:r w:rsidRPr="00CD1CF5">
        <w:rPr>
          <w:rFonts w:asciiTheme="majorHAnsi" w:hAnsiTheme="majorHAnsi" w:cstheme="majorHAnsi"/>
          <w:szCs w:val="24"/>
        </w:rPr>
        <w:t xml:space="preserve">/Ferroptosis, </w:t>
      </w:r>
      <w:r w:rsidRPr="00CD1CF5">
        <w:rPr>
          <w:rFonts w:asciiTheme="majorHAnsi" w:hAnsiTheme="majorHAnsi" w:cstheme="majorHAnsi"/>
          <w:i/>
          <w:szCs w:val="24"/>
        </w:rPr>
        <w:t>CASP3</w:t>
      </w:r>
      <w:r w:rsidRPr="00CD1CF5">
        <w:rPr>
          <w:rFonts w:asciiTheme="majorHAnsi" w:hAnsiTheme="majorHAnsi" w:cstheme="majorHAnsi"/>
          <w:szCs w:val="24"/>
        </w:rPr>
        <w:t xml:space="preserve">/Necroptosis, </w:t>
      </w:r>
      <w:r w:rsidRPr="00CD1CF5">
        <w:rPr>
          <w:rFonts w:asciiTheme="majorHAnsi" w:hAnsiTheme="majorHAnsi" w:cstheme="majorHAnsi"/>
          <w:i/>
          <w:szCs w:val="24"/>
        </w:rPr>
        <w:t>BAX</w:t>
      </w:r>
      <w:r w:rsidRPr="00CD1CF5">
        <w:rPr>
          <w:rFonts w:asciiTheme="majorHAnsi" w:hAnsiTheme="majorHAnsi" w:cstheme="majorHAnsi"/>
          <w:szCs w:val="24"/>
        </w:rPr>
        <w:t xml:space="preserve">/Necroptosis, </w:t>
      </w:r>
      <w:r w:rsidRPr="00CD1CF5">
        <w:rPr>
          <w:rFonts w:asciiTheme="majorHAnsi" w:hAnsiTheme="majorHAnsi" w:cstheme="majorHAnsi"/>
          <w:i/>
          <w:szCs w:val="24"/>
        </w:rPr>
        <w:t>GSDMD</w:t>
      </w:r>
      <w:r w:rsidRPr="00CD1CF5">
        <w:rPr>
          <w:rFonts w:asciiTheme="majorHAnsi" w:hAnsiTheme="majorHAnsi" w:cstheme="majorHAnsi"/>
          <w:szCs w:val="24"/>
        </w:rPr>
        <w:t xml:space="preserve">/Ferroptosis, </w:t>
      </w:r>
      <w:r w:rsidRPr="00CD1CF5">
        <w:rPr>
          <w:rFonts w:asciiTheme="majorHAnsi" w:hAnsiTheme="majorHAnsi" w:cstheme="majorHAnsi"/>
          <w:i/>
          <w:szCs w:val="24"/>
        </w:rPr>
        <w:t>CASP1</w:t>
      </w:r>
      <w:r w:rsidRPr="00CD1CF5">
        <w:rPr>
          <w:rFonts w:asciiTheme="majorHAnsi" w:hAnsiTheme="majorHAnsi" w:cstheme="majorHAnsi"/>
          <w:szCs w:val="24"/>
        </w:rPr>
        <w:t xml:space="preserve">/Apoptosis, </w:t>
      </w:r>
      <w:r w:rsidRPr="00CD1CF5">
        <w:rPr>
          <w:rFonts w:asciiTheme="majorHAnsi" w:hAnsiTheme="majorHAnsi" w:cstheme="majorHAnsi"/>
          <w:i/>
          <w:szCs w:val="24"/>
        </w:rPr>
        <w:t>MLKL</w:t>
      </w:r>
      <w:r w:rsidRPr="00CD1CF5">
        <w:rPr>
          <w:rFonts w:asciiTheme="majorHAnsi" w:hAnsiTheme="majorHAnsi" w:cstheme="majorHAnsi"/>
          <w:szCs w:val="24"/>
        </w:rPr>
        <w:t xml:space="preserve">/Apoptosis, </w:t>
      </w:r>
      <w:r w:rsidRPr="00CD1CF5">
        <w:rPr>
          <w:rFonts w:asciiTheme="majorHAnsi" w:hAnsiTheme="majorHAnsi" w:cstheme="majorHAnsi"/>
          <w:i/>
          <w:szCs w:val="24"/>
        </w:rPr>
        <w:t>GSDMD</w:t>
      </w:r>
      <w:r w:rsidRPr="00CD1CF5">
        <w:rPr>
          <w:rFonts w:asciiTheme="majorHAnsi" w:hAnsiTheme="majorHAnsi" w:cstheme="majorHAnsi"/>
          <w:szCs w:val="24"/>
        </w:rPr>
        <w:t>/Necroptosis.</w:t>
      </w:r>
    </w:p>
    <w:p w14:paraId="63B5B7B1" w14:textId="77777777" w:rsidR="00DB4E22" w:rsidRPr="00CD1CF5" w:rsidRDefault="00DB4E22" w:rsidP="00CD1CF5">
      <w:pPr>
        <w:spacing w:after="0" w:line="240" w:lineRule="auto"/>
        <w:rPr>
          <w:rFonts w:asciiTheme="majorHAnsi" w:hAnsiTheme="majorHAnsi" w:cstheme="majorHAnsi"/>
          <w:szCs w:val="24"/>
        </w:rPr>
      </w:pPr>
    </w:p>
    <w:p w14:paraId="4D54F1E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26 pairs comprise 18 positive pairs (the 18 unique positive genes: 10 executors plus 8 regulators) plus 8 form-mismatch negatives that reuse 8 of those genes with an incorrect form.</w:t>
      </w:r>
    </w:p>
    <w:p w14:paraId="4ED19E6F" w14:textId="77777777" w:rsidR="00DB4E22" w:rsidRPr="00CD1CF5" w:rsidRDefault="00DB4E22" w:rsidP="00CD1CF5">
      <w:pPr>
        <w:spacing w:after="0" w:line="240" w:lineRule="auto"/>
        <w:rPr>
          <w:rFonts w:asciiTheme="majorHAnsi" w:hAnsiTheme="majorHAnsi" w:cstheme="majorHAnsi"/>
          <w:szCs w:val="24"/>
        </w:rPr>
      </w:pPr>
    </w:p>
    <w:p w14:paraId="5AB7EEE6"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Each pair was submitted to all three models in the same run with the identical regulatory-aware prompt (mechanistic, role, direction).</w:t>
      </w:r>
    </w:p>
    <w:p w14:paraId="5D54E0F1" w14:textId="77777777" w:rsidR="00DB4E22" w:rsidRPr="00CD1CF5" w:rsidRDefault="00DB4E22" w:rsidP="00CD1CF5">
      <w:pPr>
        <w:spacing w:after="0" w:line="240" w:lineRule="auto"/>
        <w:rPr>
          <w:rFonts w:asciiTheme="majorHAnsi" w:hAnsiTheme="majorHAnsi" w:cstheme="majorHAnsi"/>
          <w:szCs w:val="24"/>
        </w:rPr>
      </w:pPr>
    </w:p>
    <w:p w14:paraId="1C46734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Two loop variants were benchmarked. The reference-based variant (v7) used a hand-curated 18-gene reference (one entry per unique positive gene: known form + mechanism) and achieved 100% combined accuracy with zero false positives, but that reference cannot scale: only about 5% of the compendium's pairs have a complete role, direction, and mechanistic classification to reference (1,102 rows; 573 genes; 875 pairs). The self-provided variant (v11) instead makes the model state its own mechanism, known forms, and role-specific form, then self-checks those statements; it achieved the same 100% combined accuracy and zero false positives with no external reference. Because it is fully independent and scalable, v11 was adopted for the full 22K-pair matrix.</w:t>
      </w:r>
    </w:p>
    <w:p w14:paraId="55C0B8E4" w14:textId="77777777" w:rsidR="00DB4E22" w:rsidRPr="00CD1CF5" w:rsidRDefault="00DB4E22" w:rsidP="00CD1CF5">
      <w:pPr>
        <w:pStyle w:val="Ttulo2"/>
        <w:spacing w:before="0" w:line="240" w:lineRule="auto"/>
        <w:rPr>
          <w:rFonts w:cstheme="majorHAnsi"/>
          <w:szCs w:val="24"/>
        </w:rPr>
      </w:pPr>
    </w:p>
    <w:p w14:paraId="5D81DDB7"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The self-provided loop (adopted)</w:t>
      </w:r>
    </w:p>
    <w:p w14:paraId="5A239BF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winning arm is a tool-call loop on </w:t>
      </w:r>
      <w:r w:rsidRPr="00CD1CF5">
        <w:rPr>
          <w:rFonts w:asciiTheme="majorHAnsi" w:hAnsiTheme="majorHAnsi" w:cstheme="majorHAnsi"/>
          <w:i/>
          <w:szCs w:val="24"/>
        </w:rPr>
        <w:t>deepseek-v4-pro</w:t>
      </w:r>
      <w:r w:rsidRPr="00CD1CF5">
        <w:rPr>
          <w:rFonts w:asciiTheme="majorHAnsi" w:hAnsiTheme="majorHAnsi" w:cstheme="majorHAnsi"/>
          <w:szCs w:val="24"/>
        </w:rPr>
        <w:t xml:space="preserve"> (thinking mode, </w:t>
      </w:r>
      <w:proofErr w:type="spellStart"/>
      <w:r w:rsidRPr="00CD1CF5">
        <w:rPr>
          <w:rFonts w:asciiTheme="majorHAnsi" w:hAnsiTheme="majorHAnsi" w:cstheme="majorHAnsi"/>
          <w:szCs w:val="24"/>
        </w:rPr>
        <w:t>reasoning_effort</w:t>
      </w:r>
      <w:proofErr w:type="spellEnd"/>
      <w:r w:rsidRPr="00CD1CF5">
        <w:rPr>
          <w:rFonts w:asciiTheme="majorHAnsi" w:hAnsiTheme="majorHAnsi" w:cstheme="majorHAnsi"/>
          <w:szCs w:val="24"/>
        </w:rPr>
        <w:t>=max) with: three-fold self-consistency voting; six logic rules; and three self-provided fields the model must state in every call - its molecular mechanism, its known RCD form(s), and the single form its role belongs to (</w:t>
      </w:r>
      <w:proofErr w:type="spellStart"/>
      <w:r w:rsidRPr="00CD1CF5">
        <w:rPr>
          <w:rFonts w:asciiTheme="majorHAnsi" w:hAnsiTheme="majorHAnsi" w:cstheme="majorHAnsi"/>
          <w:szCs w:val="24"/>
        </w:rPr>
        <w:t>role_form</w:t>
      </w:r>
      <w:proofErr w:type="spellEnd"/>
      <w:r w:rsidRPr="00CD1CF5">
        <w:rPr>
          <w:rFonts w:asciiTheme="majorHAnsi" w:hAnsiTheme="majorHAnsi" w:cstheme="majorHAnsi"/>
          <w:szCs w:val="24"/>
        </w:rPr>
        <w:t>). Three self-consistency rules then check those statements: an executor-</w:t>
      </w:r>
      <w:r w:rsidRPr="00CD1CF5">
        <w:rPr>
          <w:rFonts w:asciiTheme="majorHAnsi" w:hAnsiTheme="majorHAnsi" w:cstheme="majorHAnsi"/>
          <w:szCs w:val="24"/>
        </w:rPr>
        <w:lastRenderedPageBreak/>
        <w:t>keyword rule, a form-mismatch rule, and a role-form-specificity rule. No external reference is used; the gene-form pairs are drawn from the matrix, but the loop never consults the matrix's stored role or direction columns, so its classification is independent of that reference.</w:t>
      </w:r>
    </w:p>
    <w:p w14:paraId="2323D89B" w14:textId="77777777" w:rsidR="00784529" w:rsidRPr="00CD1CF5" w:rsidRDefault="00784529" w:rsidP="00CD1CF5">
      <w:pPr>
        <w:spacing w:after="0" w:line="240" w:lineRule="auto"/>
        <w:rPr>
          <w:rFonts w:asciiTheme="majorHAnsi" w:hAnsiTheme="majorHAnsi" w:cstheme="majorHAnsi"/>
          <w:szCs w:val="24"/>
        </w:rPr>
      </w:pPr>
    </w:p>
    <w:p w14:paraId="313985C8"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 (same run, 26 pairs)</w:t>
      </w:r>
    </w:p>
    <w:tbl>
      <w:tblPr>
        <w:tblStyle w:val="GradeClara-nfase1"/>
        <w:tblW w:w="0" w:type="auto"/>
        <w:tblLook w:val="04A0" w:firstRow="1" w:lastRow="0" w:firstColumn="1" w:lastColumn="0" w:noHBand="0" w:noVBand="1"/>
      </w:tblPr>
      <w:tblGrid>
        <w:gridCol w:w="2137"/>
        <w:gridCol w:w="2132"/>
        <w:gridCol w:w="2132"/>
        <w:gridCol w:w="2128"/>
      </w:tblGrid>
      <w:tr w:rsidR="00A92B80" w:rsidRPr="00CD1CF5" w14:paraId="106E654A"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CE0A79"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Metric</w:t>
            </w:r>
          </w:p>
        </w:tc>
        <w:tc>
          <w:tcPr>
            <w:tcW w:w="2160" w:type="dxa"/>
          </w:tcPr>
          <w:p w14:paraId="29747C01"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w:t>
            </w:r>
          </w:p>
        </w:tc>
        <w:tc>
          <w:tcPr>
            <w:tcW w:w="2160" w:type="dxa"/>
          </w:tcPr>
          <w:p w14:paraId="74C6071B"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deepseek-reasoner</w:t>
            </w:r>
          </w:p>
        </w:tc>
        <w:tc>
          <w:tcPr>
            <w:tcW w:w="2160" w:type="dxa"/>
          </w:tcPr>
          <w:p w14:paraId="6C0B815B"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self-provided loop (v11)</w:t>
            </w:r>
          </w:p>
        </w:tc>
      </w:tr>
      <w:tr w:rsidR="00A92B80" w:rsidRPr="00CD1CF5" w14:paraId="7DC37BDC"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308AA4"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Combined accuracy</w:t>
            </w:r>
          </w:p>
        </w:tc>
        <w:tc>
          <w:tcPr>
            <w:tcW w:w="2160" w:type="dxa"/>
          </w:tcPr>
          <w:p w14:paraId="3F43AFB6"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21/26 (81%)</w:t>
            </w:r>
          </w:p>
        </w:tc>
        <w:tc>
          <w:tcPr>
            <w:tcW w:w="2160" w:type="dxa"/>
          </w:tcPr>
          <w:p w14:paraId="22B8B5F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19/26 (73%)</w:t>
            </w:r>
          </w:p>
        </w:tc>
        <w:tc>
          <w:tcPr>
            <w:tcW w:w="2160" w:type="dxa"/>
          </w:tcPr>
          <w:p w14:paraId="23292D81"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24437B6E"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73AA7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sensitivity</w:t>
            </w:r>
          </w:p>
        </w:tc>
        <w:tc>
          <w:tcPr>
            <w:tcW w:w="2160" w:type="dxa"/>
          </w:tcPr>
          <w:p w14:paraId="2360A27B"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9/10 (90%)</w:t>
            </w:r>
          </w:p>
        </w:tc>
        <w:tc>
          <w:tcPr>
            <w:tcW w:w="2160" w:type="dxa"/>
          </w:tcPr>
          <w:p w14:paraId="4D460214"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6/10 (60%)</w:t>
            </w:r>
          </w:p>
        </w:tc>
        <w:tc>
          <w:tcPr>
            <w:tcW w:w="2160" w:type="dxa"/>
          </w:tcPr>
          <w:p w14:paraId="11CA985A"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18D4E0B2"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E2F06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precision</w:t>
            </w:r>
          </w:p>
        </w:tc>
        <w:tc>
          <w:tcPr>
            <w:tcW w:w="2160" w:type="dxa"/>
          </w:tcPr>
          <w:p w14:paraId="5C2E215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9/11 (82%)</w:t>
            </w:r>
          </w:p>
        </w:tc>
        <w:tc>
          <w:tcPr>
            <w:tcW w:w="2160" w:type="dxa"/>
          </w:tcPr>
          <w:p w14:paraId="70C12891"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6/7 (86%)</w:t>
            </w:r>
          </w:p>
        </w:tc>
        <w:tc>
          <w:tcPr>
            <w:tcW w:w="2160" w:type="dxa"/>
          </w:tcPr>
          <w:p w14:paraId="3D3E4474"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60D72376"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BCDC3D"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sensitivity</w:t>
            </w:r>
          </w:p>
        </w:tc>
        <w:tc>
          <w:tcPr>
            <w:tcW w:w="2160" w:type="dxa"/>
          </w:tcPr>
          <w:p w14:paraId="1D59E641"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1CE31A24"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4F6E9857"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58E4EC67"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784840"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precision</w:t>
            </w:r>
          </w:p>
        </w:tc>
        <w:tc>
          <w:tcPr>
            <w:tcW w:w="2160" w:type="dxa"/>
          </w:tcPr>
          <w:p w14:paraId="797885AE"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7/10 (70%)</w:t>
            </w:r>
          </w:p>
        </w:tc>
        <w:tc>
          <w:tcPr>
            <w:tcW w:w="2160" w:type="dxa"/>
          </w:tcPr>
          <w:p w14:paraId="1FAD5A86"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7/13 (54%)</w:t>
            </w:r>
          </w:p>
        </w:tc>
        <w:tc>
          <w:tcPr>
            <w:tcW w:w="2160" w:type="dxa"/>
          </w:tcPr>
          <w:p w14:paraId="58769953"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6B25B667"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E10C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Coherent rejection</w:t>
            </w:r>
          </w:p>
        </w:tc>
        <w:tc>
          <w:tcPr>
            <w:tcW w:w="2160" w:type="dxa"/>
          </w:tcPr>
          <w:p w14:paraId="0AE732BC"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 (62%)</w:t>
            </w:r>
          </w:p>
        </w:tc>
        <w:tc>
          <w:tcPr>
            <w:tcW w:w="2160" w:type="dxa"/>
          </w:tcPr>
          <w:p w14:paraId="62921ADB"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6/8 (75%)</w:t>
            </w:r>
          </w:p>
        </w:tc>
        <w:tc>
          <w:tcPr>
            <w:tcW w:w="2160" w:type="dxa"/>
          </w:tcPr>
          <w:p w14:paraId="1A1D251E"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73EAD6DB"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D38AB3"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False positives</w:t>
            </w:r>
          </w:p>
        </w:tc>
        <w:tc>
          <w:tcPr>
            <w:tcW w:w="2160" w:type="dxa"/>
          </w:tcPr>
          <w:p w14:paraId="6E7CC37A"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 (38%)</w:t>
            </w:r>
          </w:p>
        </w:tc>
        <w:tc>
          <w:tcPr>
            <w:tcW w:w="2160" w:type="dxa"/>
          </w:tcPr>
          <w:p w14:paraId="4363FFFA"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2/8 (25%)</w:t>
            </w:r>
          </w:p>
        </w:tc>
        <w:tc>
          <w:tcPr>
            <w:tcW w:w="2160" w:type="dxa"/>
          </w:tcPr>
          <w:p w14:paraId="6E5FFFF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r w:rsidR="00A92B80" w:rsidRPr="00CD1CF5" w14:paraId="15D13C06"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4177C9"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Role-mech coherence</w:t>
            </w:r>
          </w:p>
        </w:tc>
        <w:tc>
          <w:tcPr>
            <w:tcW w:w="2160" w:type="dxa"/>
          </w:tcPr>
          <w:p w14:paraId="519D26F8"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23/26 (88%)</w:t>
            </w:r>
          </w:p>
        </w:tc>
        <w:tc>
          <w:tcPr>
            <w:tcW w:w="2160" w:type="dxa"/>
          </w:tcPr>
          <w:p w14:paraId="14ECE6D7"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160" w:type="dxa"/>
          </w:tcPr>
          <w:p w14:paraId="5F608B6A"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32BB9C8F"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875D8"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Direction accuracy</w:t>
            </w:r>
          </w:p>
        </w:tc>
        <w:tc>
          <w:tcPr>
            <w:tcW w:w="2160" w:type="dxa"/>
          </w:tcPr>
          <w:p w14:paraId="54CD93C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6DAABE29"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c>
          <w:tcPr>
            <w:tcW w:w="2160" w:type="dxa"/>
          </w:tcPr>
          <w:p w14:paraId="4A4E23AE"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bl>
    <w:p w14:paraId="6271E553" w14:textId="77777777" w:rsidR="00784529" w:rsidRPr="00CD1CF5" w:rsidRDefault="00784529" w:rsidP="00CD1CF5">
      <w:pPr>
        <w:pStyle w:val="Ttulo2"/>
        <w:spacing w:before="0" w:line="240" w:lineRule="auto"/>
        <w:rPr>
          <w:rFonts w:cstheme="majorHAnsi"/>
          <w:szCs w:val="24"/>
        </w:rPr>
      </w:pPr>
    </w:p>
    <w:p w14:paraId="46779704"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Conclusion</w:t>
      </w:r>
    </w:p>
    <w:p w14:paraId="74E94393"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self-provided governance loop achieved 100% combined accuracy, 100% sensitivity and precision on both roles, and zero false positives - exceeding both baselines on every metric, without any external reference. It was therefore adopted as the role-classification engine for the compendium.</w:t>
      </w:r>
    </w:p>
    <w:p w14:paraId="33D2576A" w14:textId="77777777" w:rsidR="00DB4E22" w:rsidRPr="00CD1CF5" w:rsidRDefault="00DB4E22" w:rsidP="00CD1CF5">
      <w:pPr>
        <w:pStyle w:val="Ttulo2"/>
        <w:spacing w:before="0" w:line="240" w:lineRule="auto"/>
        <w:rPr>
          <w:rFonts w:cstheme="majorHAnsi"/>
          <w:szCs w:val="24"/>
        </w:rPr>
      </w:pPr>
    </w:p>
    <w:p w14:paraId="27703E79"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Code</w:t>
      </w:r>
    </w:p>
    <w:p w14:paraId="18196DF1"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cot_benchmark.py (v1) -&gt; v2 -&gt; v3 (loop) -&gt; v4 (self-consistency + rules) -&gt; v5 (coherence) -&gt; v6 (executor-keyword) -&gt; v7 (form-mismatch, with reference) -&gt; v8 (agnostic) -&gt; v9 (self-provided mechanism/</w:t>
      </w:r>
      <w:proofErr w:type="spellStart"/>
      <w:r w:rsidRPr="00CD1CF5">
        <w:rPr>
          <w:rFonts w:asciiTheme="majorHAnsi" w:hAnsiTheme="majorHAnsi" w:cstheme="majorHAnsi"/>
          <w:szCs w:val="24"/>
        </w:rPr>
        <w:t>known_forms</w:t>
      </w:r>
      <w:proofErr w:type="spellEnd"/>
      <w:r w:rsidRPr="00CD1CF5">
        <w:rPr>
          <w:rFonts w:asciiTheme="majorHAnsi" w:hAnsiTheme="majorHAnsi" w:cstheme="majorHAnsi"/>
          <w:szCs w:val="24"/>
        </w:rPr>
        <w:t>) -&gt; v10 (</w:t>
      </w:r>
      <w:proofErr w:type="spellStart"/>
      <w:r w:rsidRPr="00CD1CF5">
        <w:rPr>
          <w:rFonts w:asciiTheme="majorHAnsi" w:hAnsiTheme="majorHAnsi" w:cstheme="majorHAnsi"/>
          <w:szCs w:val="24"/>
        </w:rPr>
        <w:t>role_form</w:t>
      </w:r>
      <w:proofErr w:type="spellEnd"/>
      <w:r w:rsidRPr="00CD1CF5">
        <w:rPr>
          <w:rFonts w:asciiTheme="majorHAnsi" w:hAnsiTheme="majorHAnsi" w:cstheme="majorHAnsi"/>
          <w:szCs w:val="24"/>
        </w:rPr>
        <w:t>) -&gt; v11 (broadened executor words). All scripts reside in the "extraction code snippets" directory.</w:t>
      </w:r>
    </w:p>
    <w:p w14:paraId="229B830E" w14:textId="77777777" w:rsidR="00DB4E22" w:rsidRPr="00CD1CF5" w:rsidRDefault="00DB4E22" w:rsidP="00CD1CF5">
      <w:pPr>
        <w:pStyle w:val="Ttulo2"/>
        <w:spacing w:before="0" w:line="240" w:lineRule="auto"/>
        <w:rPr>
          <w:rFonts w:cstheme="majorHAnsi"/>
          <w:szCs w:val="24"/>
        </w:rPr>
      </w:pPr>
    </w:p>
    <w:p w14:paraId="42FF7505"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Chain-of-thought full-run benchmark (</w:t>
      </w:r>
      <w:r w:rsidRPr="00CD1CF5">
        <w:rPr>
          <w:rFonts w:cstheme="majorHAnsi"/>
          <w:i/>
          <w:szCs w:val="24"/>
        </w:rPr>
        <w:t>deepseek-v4-pro</w:t>
      </w:r>
      <w:r w:rsidRPr="00CD1CF5">
        <w:rPr>
          <w:rFonts w:cstheme="majorHAnsi"/>
          <w:szCs w:val="24"/>
        </w:rPr>
        <w:t xml:space="preserve"> + self-governance loop)</w:t>
      </w:r>
    </w:p>
    <w:p w14:paraId="5D391EDA"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Before the full-matrix run, the same 26 ground-truth pairs (10 executors, 8 regulators, 8 negative controls) were re-benchmarked against the production classifier: </w:t>
      </w:r>
      <w:r w:rsidRPr="00CD1CF5">
        <w:rPr>
          <w:rFonts w:asciiTheme="majorHAnsi" w:hAnsiTheme="majorHAnsi" w:cstheme="majorHAnsi"/>
          <w:i/>
          <w:szCs w:val="24"/>
        </w:rPr>
        <w:t>deepseek-v4-pro</w:t>
      </w:r>
      <w:r w:rsidRPr="00CD1CF5">
        <w:rPr>
          <w:rFonts w:asciiTheme="majorHAnsi" w:hAnsiTheme="majorHAnsi" w:cstheme="majorHAnsi"/>
          <w:szCs w:val="24"/>
        </w:rPr>
        <w:t xml:space="preserve"> with thinking enabled, the verify-role self-governance loop, and the role-form specificity gate. The gate rejects a mechanistic-YES verdict whenever the model's self-stated role-form does not match the queried RCD form, targeting the form-over-generalization false positives (GPX4/Pyroptosis and MLKL/Apoptosis) that persisted in earlier iterations.</w:t>
      </w:r>
    </w:p>
    <w:p w14:paraId="73616975"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Results: the production classifier reached 26/26 (100%) combined accuracy and 0/8 (0%) false positives, against 2 false positives for deepseek-chat and 2 for deepseek-reasoner on the same set.</w:t>
      </w:r>
    </w:p>
    <w:p w14:paraId="7B17ACA7" w14:textId="77777777" w:rsidR="00DB4E22" w:rsidRPr="00CD1CF5" w:rsidRDefault="00DB4E22" w:rsidP="00CD1CF5">
      <w:pPr>
        <w:pStyle w:val="Ttulo1"/>
        <w:spacing w:before="0" w:line="240" w:lineRule="auto"/>
        <w:rPr>
          <w:rFonts w:cstheme="majorHAnsi"/>
          <w:sz w:val="24"/>
          <w:szCs w:val="24"/>
        </w:rPr>
      </w:pPr>
    </w:p>
    <w:p w14:paraId="56478C4F"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highlight w:val="green"/>
        </w:rPr>
        <w:t>Supplementary Note S3</w:t>
      </w:r>
      <w:r w:rsidR="001069E6">
        <w:rPr>
          <w:rFonts w:cstheme="majorHAnsi"/>
          <w:sz w:val="24"/>
          <w:szCs w:val="24"/>
        </w:rPr>
        <w:t xml:space="preserve"> -</w:t>
      </w:r>
      <w:r w:rsidRPr="00CD1CF5">
        <w:rPr>
          <w:rFonts w:cstheme="majorHAnsi"/>
          <w:sz w:val="24"/>
          <w:szCs w:val="24"/>
        </w:rPr>
        <w:t xml:space="preserve"> RCDome: Consensus API Classification Benchmark: </w:t>
      </w:r>
    </w:p>
    <w:p w14:paraId="11DEA677"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Consensus API classification benchmark, which tuned the Consensus evidence-channel classifier against the same 26 ground-truth pairs used for the DeepSeek model-selection benchmark (</w:t>
      </w:r>
      <w:r w:rsidRPr="00CD1CF5">
        <w:rPr>
          <w:rFonts w:asciiTheme="majorHAnsi" w:hAnsiTheme="majorHAnsi" w:cstheme="majorHAnsi"/>
          <w:szCs w:val="24"/>
          <w:highlight w:val="green"/>
        </w:rPr>
        <w:t>Supplementary Note S2</w:t>
      </w:r>
      <w:r w:rsidRPr="00CD1CF5">
        <w:rPr>
          <w:rFonts w:asciiTheme="majorHAnsi" w:hAnsiTheme="majorHAnsi" w:cstheme="majorHAnsi"/>
          <w:szCs w:val="24"/>
        </w:rPr>
        <w:t>).</w:t>
      </w:r>
    </w:p>
    <w:p w14:paraId="25A4EF0F" w14:textId="77777777" w:rsidR="00DB4E22" w:rsidRPr="00CD1CF5" w:rsidRDefault="00DB4E22" w:rsidP="00CD1CF5">
      <w:pPr>
        <w:pStyle w:val="Ttulo2"/>
        <w:spacing w:before="0" w:line="240" w:lineRule="auto"/>
        <w:rPr>
          <w:rFonts w:cstheme="majorHAnsi"/>
          <w:szCs w:val="24"/>
        </w:rPr>
      </w:pPr>
    </w:p>
    <w:p w14:paraId="4373E565"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5034307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(10 executors, 8 regulators, 8 negative controls) served as ground truth. Seven iterations (v1–v7) tested query formulations: v1–v4 tested reference-query formulations; v5 combined reference and agnostic queries; v6 mirrored the DeepSeek self-governance loop; v7 introduced the neutral-query rule (the gene symbol followed only by "cell death"), removing form-name priming.</w:t>
      </w:r>
    </w:p>
    <w:p w14:paraId="7D33A708" w14:textId="77777777" w:rsidR="00DB4E22" w:rsidRPr="00CD1CF5" w:rsidRDefault="00DB4E22" w:rsidP="00CD1CF5">
      <w:pPr>
        <w:pStyle w:val="Ttulo2"/>
        <w:spacing w:before="0" w:line="240" w:lineRule="auto"/>
        <w:rPr>
          <w:rFonts w:cstheme="majorHAnsi"/>
          <w:szCs w:val="24"/>
        </w:rPr>
      </w:pPr>
    </w:p>
    <w:p w14:paraId="419BD664"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w:t>
      </w:r>
    </w:p>
    <w:p w14:paraId="127C972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neutral-query rule (v7) reached 26/26 (100%) combined accuracy and 0/8 (0%) false positives, against 1/8 false positives for v6 (mechanistic 25/26; role 17/26). The neutral-query rule was therefore adopted for the full Consensus extraction.</w:t>
      </w:r>
    </w:p>
    <w:p w14:paraId="50C0021F" w14:textId="77777777" w:rsidR="00DB4E22" w:rsidRPr="00CD1CF5" w:rsidRDefault="00DB4E22" w:rsidP="00CD1CF5">
      <w:pPr>
        <w:spacing w:after="0" w:line="240" w:lineRule="auto"/>
        <w:rPr>
          <w:rFonts w:asciiTheme="majorHAnsi" w:hAnsiTheme="majorHAnsi" w:cstheme="majorHAnsi"/>
          <w:szCs w:val="24"/>
        </w:rPr>
      </w:pPr>
    </w:p>
    <w:tbl>
      <w:tblPr>
        <w:tblStyle w:val="GradeClara-nfase1"/>
        <w:tblW w:w="0" w:type="auto"/>
        <w:tblLook w:val="04A0" w:firstRow="1" w:lastRow="0" w:firstColumn="1" w:lastColumn="0" w:noHBand="0" w:noVBand="1"/>
      </w:tblPr>
      <w:tblGrid>
        <w:gridCol w:w="2840"/>
        <w:gridCol w:w="2846"/>
        <w:gridCol w:w="2843"/>
      </w:tblGrid>
      <w:tr w:rsidR="00A92B80" w:rsidRPr="00CD1CF5" w14:paraId="67B52912"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E2D42"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Iteration</w:t>
            </w:r>
          </w:p>
        </w:tc>
        <w:tc>
          <w:tcPr>
            <w:tcW w:w="2880" w:type="dxa"/>
          </w:tcPr>
          <w:p w14:paraId="2DBB408D"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Combined accuracy</w:t>
            </w:r>
          </w:p>
        </w:tc>
        <w:tc>
          <w:tcPr>
            <w:tcW w:w="2880" w:type="dxa"/>
          </w:tcPr>
          <w:p w14:paraId="03A83991"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False positives (of 8 negatives)</w:t>
            </w:r>
          </w:p>
        </w:tc>
      </w:tr>
      <w:tr w:rsidR="00A92B80" w:rsidRPr="00CD1CF5" w14:paraId="585D28B1"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576A0"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v6</w:t>
            </w:r>
          </w:p>
        </w:tc>
        <w:tc>
          <w:tcPr>
            <w:tcW w:w="2880" w:type="dxa"/>
          </w:tcPr>
          <w:p w14:paraId="02D49ED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mechanistic 25/26 (role 17/26)</w:t>
            </w:r>
          </w:p>
        </w:tc>
        <w:tc>
          <w:tcPr>
            <w:tcW w:w="2880" w:type="dxa"/>
          </w:tcPr>
          <w:p w14:paraId="31DF236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w:t>
            </w:r>
          </w:p>
        </w:tc>
      </w:tr>
      <w:tr w:rsidR="00A92B80" w:rsidRPr="00CD1CF5" w14:paraId="675CE03A"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EE0BA"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v7 (neutral query)</w:t>
            </w:r>
          </w:p>
        </w:tc>
        <w:tc>
          <w:tcPr>
            <w:tcW w:w="2880" w:type="dxa"/>
          </w:tcPr>
          <w:p w14:paraId="4F2FEB8D"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880" w:type="dxa"/>
          </w:tcPr>
          <w:p w14:paraId="7C6C71F6"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bl>
    <w:p w14:paraId="711306A1" w14:textId="77777777" w:rsidR="00DB4E22" w:rsidRPr="00CD1CF5" w:rsidRDefault="00DB4E22" w:rsidP="00CD1CF5">
      <w:pPr>
        <w:spacing w:after="0" w:line="240" w:lineRule="auto"/>
        <w:rPr>
          <w:rFonts w:asciiTheme="majorHAnsi" w:hAnsiTheme="majorHAnsi" w:cstheme="majorHAnsi"/>
          <w:szCs w:val="24"/>
        </w:rPr>
      </w:pPr>
    </w:p>
    <w:p w14:paraId="01F24E78" w14:textId="77777777" w:rsidR="00BB22A7" w:rsidRPr="00CD1CF5" w:rsidRDefault="00BB22A7" w:rsidP="00CD1CF5">
      <w:pPr>
        <w:pStyle w:val="Ttulo1"/>
        <w:spacing w:before="0" w:line="240" w:lineRule="auto"/>
        <w:rPr>
          <w:rFonts w:cstheme="majorHAnsi"/>
          <w:sz w:val="24"/>
          <w:szCs w:val="24"/>
        </w:rPr>
      </w:pPr>
    </w:p>
    <w:p w14:paraId="47B90E5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highlight w:val="green"/>
        </w:rPr>
        <w:t>Supplementary Note S4</w:t>
      </w:r>
      <w:r w:rsidRPr="00CD1CF5">
        <w:rPr>
          <w:rFonts w:cstheme="majorHAnsi"/>
          <w:color w:val="auto"/>
          <w:szCs w:val="24"/>
        </w:rPr>
        <w:t xml:space="preserve"> </w:t>
      </w:r>
      <w:r w:rsidR="001069E6">
        <w:rPr>
          <w:rFonts w:cstheme="majorHAnsi"/>
          <w:color w:val="auto"/>
          <w:szCs w:val="24"/>
        </w:rPr>
        <w:t>-</w:t>
      </w:r>
      <w:r w:rsidRPr="00CD1CF5">
        <w:rPr>
          <w:rFonts w:cstheme="majorHAnsi"/>
          <w:color w:val="auto"/>
          <w:szCs w:val="24"/>
        </w:rPr>
        <w:t xml:space="preserve"> Canonicalization Logic and Separation from Biological Modality Status</w:t>
      </w:r>
    </w:p>
    <w:p w14:paraId="2168C52E"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4B61337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This note defines the term </w:t>
      </w:r>
      <w:r w:rsidRPr="00CD1CF5">
        <w:rPr>
          <w:rFonts w:asciiTheme="majorHAnsi" w:hAnsiTheme="majorHAnsi" w:cstheme="majorHAnsi"/>
          <w:i/>
          <w:color w:val="auto"/>
          <w:szCs w:val="24"/>
        </w:rPr>
        <w:t>"canonicalized RCD-related entity"</w:t>
      </w:r>
      <w:r w:rsidRPr="00CD1CF5">
        <w:rPr>
          <w:rFonts w:asciiTheme="majorHAnsi" w:hAnsiTheme="majorHAnsi" w:cstheme="majorHAnsi"/>
          <w:color w:val="auto"/>
          <w:szCs w:val="24"/>
        </w:rPr>
        <w:t xml:space="preserve"> as used throughout RCDome, and explains why vocabulary canonicalization must be kept rigorously distinct from biological recognition of an entity as a canonical or bona fide regulated cell-death (RCD) modality.</w:t>
      </w:r>
    </w:p>
    <w:p w14:paraId="6AFFB664"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What canonicalization means in RCDome</w:t>
      </w:r>
    </w:p>
    <w:p w14:paraId="6F04FE9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RCDome consolidates gene–RCD association records recovered from 20 heterogeneous sources (curated databases, pathway resources, omic-annotation compendia, and literature-mining channels), each using its own nomenclature. A single biological concept therefore arrives under multiple names (e.g., "Entotic-cell-death", "Entotic cell death", and "Entosis" for the same entity).</w:t>
      </w:r>
    </w:p>
    <w:p w14:paraId="2DA7757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lastRenderedPageBreak/>
        <w:t>Canonicalization</w:t>
      </w:r>
      <w:r w:rsidRPr="00CD1CF5">
        <w:rPr>
          <w:rFonts w:asciiTheme="majorHAnsi" w:hAnsiTheme="majorHAnsi" w:cstheme="majorHAnsi"/>
          <w:color w:val="auto"/>
          <w:szCs w:val="24"/>
        </w:rPr>
        <w:t xml:space="preserve"> is the vocabulary operation that maps these heterogeneous source terms onto a single preferred RCDome identifier while the original source term is preserved in a parallel field (`</w:t>
      </w:r>
      <w:proofErr w:type="spellStart"/>
      <w:r w:rsidRPr="00CD1CF5">
        <w:rPr>
          <w:rFonts w:asciiTheme="majorHAnsi" w:hAnsiTheme="majorHAnsi" w:cstheme="majorHAnsi"/>
          <w:color w:val="auto"/>
          <w:szCs w:val="24"/>
        </w:rPr>
        <w:t>rcd_form</w:t>
      </w:r>
      <w:proofErr w:type="spellEnd"/>
      <w:r w:rsidRPr="00CD1CF5">
        <w:rPr>
          <w:rFonts w:asciiTheme="majorHAnsi" w:hAnsiTheme="majorHAnsi" w:cstheme="majorHAnsi"/>
          <w:color w:val="auto"/>
          <w:szCs w:val="24"/>
        </w:rPr>
        <w:t>`, alongside the normalized identifier `</w:t>
      </w:r>
      <w:proofErr w:type="spellStart"/>
      <w:r w:rsidRPr="00CD1CF5">
        <w:rPr>
          <w:rFonts w:asciiTheme="majorHAnsi" w:hAnsiTheme="majorHAnsi" w:cstheme="majorHAnsi"/>
          <w:color w:val="auto"/>
          <w:szCs w:val="24"/>
        </w:rPr>
        <w:t>rcd_form_canonical</w:t>
      </w:r>
      <w:proofErr w:type="spellEnd"/>
      <w:r w:rsidRPr="00CD1CF5">
        <w:rPr>
          <w:rFonts w:asciiTheme="majorHAnsi" w:hAnsiTheme="majorHAnsi" w:cstheme="majorHAnsi"/>
          <w:color w:val="auto"/>
          <w:szCs w:val="24"/>
        </w:rPr>
        <w:t xml:space="preserve">`). The result is a controlled vocabulary of </w:t>
      </w:r>
      <w:r w:rsidRPr="00CD1CF5">
        <w:rPr>
          <w:rFonts w:asciiTheme="majorHAnsi" w:hAnsiTheme="majorHAnsi" w:cstheme="majorHAnsi"/>
          <w:b/>
          <w:color w:val="auto"/>
          <w:szCs w:val="24"/>
        </w:rPr>
        <w:t>53 canonicalized RCD-related entities</w:t>
      </w:r>
      <w:r w:rsidRPr="00CD1CF5">
        <w:rPr>
          <w:rFonts w:asciiTheme="majorHAnsi" w:hAnsiTheme="majorHAnsi" w:cstheme="majorHAnsi"/>
          <w:color w:val="auto"/>
          <w:szCs w:val="24"/>
        </w:rPr>
        <w:t>.</w:t>
      </w:r>
    </w:p>
    <w:p w14:paraId="0C52404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Canonicalization is therefore an </w:t>
      </w:r>
      <w:r w:rsidRPr="00CD1CF5">
        <w:rPr>
          <w:rFonts w:asciiTheme="majorHAnsi" w:hAnsiTheme="majorHAnsi" w:cstheme="majorHAnsi"/>
          <w:b/>
          <w:color w:val="auto"/>
          <w:szCs w:val="24"/>
        </w:rPr>
        <w:t>informatics operation on nomenclature</w:t>
      </w:r>
      <w:r w:rsidRPr="00CD1CF5">
        <w:rPr>
          <w:rFonts w:asciiTheme="majorHAnsi" w:hAnsiTheme="majorHAnsi" w:cstheme="majorHAnsi"/>
          <w:color w:val="auto"/>
          <w:szCs w:val="24"/>
        </w:rPr>
        <w:t>, not a biological verdict.</w:t>
      </w:r>
    </w:p>
    <w:p w14:paraId="4A77D847"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What canonicalization does NOT mean</w:t>
      </w:r>
    </w:p>
    <w:p w14:paraId="72B0ED6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does not imply that an entity is:</w:t>
      </w:r>
    </w:p>
    <w:p w14:paraId="088FE7C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 canonical or established human cell-death modality;</w:t>
      </w:r>
    </w:p>
    <w:p w14:paraId="13BA831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mechanistically independent;</w:t>
      </w:r>
    </w:p>
    <w:p w14:paraId="75442175"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validated in human cells;</w:t>
      </w:r>
    </w:p>
    <w:p w14:paraId="51C47B5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accepted by the Nomenclature Committee on Cell Death (NCCD);</w:t>
      </w:r>
    </w:p>
    <w:p w14:paraId="79BD945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supported by a causal execution machinery; or</w:t>
      </w:r>
    </w:p>
    <w:p w14:paraId="78F0F3F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equivalent in evidence maturity to apoptosis, necroptosis, ferroptosis, or pyroptosis.</w:t>
      </w:r>
    </w:p>
    <w:p w14:paraId="4ECB6E0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Membership in the controlled vocabulary records only that the entity's terminology has been normalized into RCDome. Biological and ontological status is adjudicated separately and independently.</w:t>
      </w:r>
    </w:p>
    <w:p w14:paraId="6D4981D2"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Terminology hierarchy</w:t>
      </w:r>
    </w:p>
    <w:p w14:paraId="38064FB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Four terms are used deliberately, with distinct meanings:</w:t>
      </w:r>
    </w:p>
    <w:p w14:paraId="652D3E8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1. </w:t>
      </w:r>
      <w:r w:rsidRPr="00CD1CF5">
        <w:rPr>
          <w:rFonts w:asciiTheme="majorHAnsi" w:hAnsiTheme="majorHAnsi" w:cstheme="majorHAnsi"/>
          <w:b/>
          <w:color w:val="auto"/>
          <w:szCs w:val="24"/>
        </w:rPr>
        <w:t>Canonicalized RCD-related entity</w:t>
      </w:r>
      <w:r w:rsidRPr="00CD1CF5">
        <w:rPr>
          <w:rFonts w:asciiTheme="majorHAnsi" w:hAnsiTheme="majorHAnsi" w:cstheme="majorHAnsi"/>
          <w:color w:val="auto"/>
          <w:szCs w:val="24"/>
        </w:rPr>
        <w:t xml:space="preserve"> — one of the 53 preferred vocabulary identifiers produced by normalization and consolidation of heterogeneous source terminology. This is a vocabulary-normalization statement.</w:t>
      </w:r>
    </w:p>
    <w:p w14:paraId="13C598F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2. </w:t>
      </w:r>
      <w:r w:rsidRPr="00CD1CF5">
        <w:rPr>
          <w:rFonts w:asciiTheme="majorHAnsi" w:hAnsiTheme="majorHAnsi" w:cstheme="majorHAnsi"/>
          <w:b/>
          <w:color w:val="auto"/>
          <w:szCs w:val="24"/>
        </w:rPr>
        <w:t>RCD-related entity</w:t>
      </w:r>
      <w:r w:rsidRPr="00CD1CF5">
        <w:rPr>
          <w:rFonts w:asciiTheme="majorHAnsi" w:hAnsiTheme="majorHAnsi" w:cstheme="majorHAnsi"/>
          <w:color w:val="auto"/>
          <w:szCs w:val="24"/>
        </w:rPr>
        <w:t xml:space="preserve"> — the neutral umbrella term for any member of the 53-entity controlled vocabulary, used when the normalization history is not the point of the sentence.</w:t>
      </w:r>
    </w:p>
    <w:p w14:paraId="1E8A0B3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3. Bona fide RCD modality — an entity admitted to level L1 through the RCDome BG0–BG6 hard-gate framework (identifiable causal machinery and functional necessity/distinguishability). In the current adjudicated ontology, 19 of the 53 entities satisfy this criterion.</w:t>
      </w:r>
    </w:p>
    <w:p w14:paraId="30DDA58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4. </w:t>
      </w:r>
      <w:r w:rsidRPr="00CD1CF5">
        <w:rPr>
          <w:rFonts w:asciiTheme="majorHAnsi" w:hAnsiTheme="majorHAnsi" w:cstheme="majorHAnsi"/>
          <w:b/>
          <w:color w:val="auto"/>
          <w:szCs w:val="24"/>
        </w:rPr>
        <w:t>Canonical RCD modality</w:t>
      </w:r>
      <w:r w:rsidRPr="00CD1CF5">
        <w:rPr>
          <w:rFonts w:asciiTheme="majorHAnsi" w:hAnsiTheme="majorHAnsi" w:cstheme="majorHAnsi"/>
          <w:color w:val="auto"/>
          <w:szCs w:val="24"/>
        </w:rPr>
        <w:t xml:space="preserve"> — reserved for contexts that genuinely require a claim of biological establishment or authoritative mechanistic recognition, and only where that claim is supported by the evidence. This term is never used merely because an entity has been canonicalized in RCDome.</w:t>
      </w:r>
    </w:p>
    <w:p w14:paraId="42253198"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The 53 ↔ 19 relationship</w:t>
      </w:r>
    </w:p>
    <w:p w14:paraId="27EC7B7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The 53 canonicalized RCD-related entities span five ontological levels:</w:t>
      </w:r>
    </w:p>
    <w:p w14:paraId="36498FF9" w14:textId="77777777" w:rsidR="00BB22A7" w:rsidRPr="00CD1CF5" w:rsidRDefault="00BB22A7" w:rsidP="00CD1CF5">
      <w:pPr>
        <w:spacing w:line="240" w:lineRule="auto"/>
        <w:rPr>
          <w:rFonts w:asciiTheme="majorHAnsi" w:hAnsiTheme="majorHAnsi" w:cstheme="majorHAnsi"/>
          <w:color w:val="auto"/>
          <w:szCs w:val="24"/>
          <w:lang w:val="fr-029"/>
        </w:rPr>
      </w:pPr>
      <w:r w:rsidRPr="00CD1CF5">
        <w:rPr>
          <w:rFonts w:asciiTheme="majorHAnsi" w:hAnsiTheme="majorHAnsi" w:cstheme="majorHAnsi"/>
          <w:color w:val="auto"/>
          <w:szCs w:val="24"/>
          <w:lang w:val="fr-029"/>
        </w:rPr>
        <w:lastRenderedPageBreak/>
        <w:t xml:space="preserve">• 19 </w:t>
      </w:r>
      <w:proofErr w:type="spellStart"/>
      <w:r w:rsidRPr="00CD1CF5">
        <w:rPr>
          <w:rFonts w:asciiTheme="majorHAnsi" w:hAnsiTheme="majorHAnsi" w:cstheme="majorHAnsi"/>
          <w:color w:val="auto"/>
          <w:szCs w:val="24"/>
          <w:lang w:val="fr-029"/>
        </w:rPr>
        <w:t>bona</w:t>
      </w:r>
      <w:proofErr w:type="spellEnd"/>
      <w:r w:rsidRPr="00CD1CF5">
        <w:rPr>
          <w:rFonts w:asciiTheme="majorHAnsi" w:hAnsiTheme="majorHAnsi" w:cstheme="majorHAnsi"/>
          <w:color w:val="auto"/>
          <w:szCs w:val="24"/>
          <w:lang w:val="fr-029"/>
        </w:rPr>
        <w:t xml:space="preserve"> </w:t>
      </w:r>
      <w:proofErr w:type="spellStart"/>
      <w:r w:rsidRPr="00CD1CF5">
        <w:rPr>
          <w:rFonts w:asciiTheme="majorHAnsi" w:hAnsiTheme="majorHAnsi" w:cstheme="majorHAnsi"/>
          <w:color w:val="auto"/>
          <w:szCs w:val="24"/>
          <w:lang w:val="fr-029"/>
        </w:rPr>
        <w:t>fide</w:t>
      </w:r>
      <w:proofErr w:type="spellEnd"/>
      <w:r w:rsidRPr="00CD1CF5">
        <w:rPr>
          <w:rFonts w:asciiTheme="majorHAnsi" w:hAnsiTheme="majorHAnsi" w:cstheme="majorHAnsi"/>
          <w:color w:val="auto"/>
          <w:szCs w:val="24"/>
          <w:lang w:val="fr-029"/>
        </w:rPr>
        <w:t xml:space="preserve"> RCD </w:t>
      </w:r>
      <w:proofErr w:type="spellStart"/>
      <w:r w:rsidRPr="00CD1CF5">
        <w:rPr>
          <w:rFonts w:asciiTheme="majorHAnsi" w:hAnsiTheme="majorHAnsi" w:cstheme="majorHAnsi"/>
          <w:color w:val="auto"/>
          <w:szCs w:val="24"/>
          <w:lang w:val="fr-029"/>
        </w:rPr>
        <w:t>modalities</w:t>
      </w:r>
      <w:proofErr w:type="spellEnd"/>
      <w:r w:rsidRPr="00CD1CF5">
        <w:rPr>
          <w:rFonts w:asciiTheme="majorHAnsi" w:hAnsiTheme="majorHAnsi" w:cstheme="majorHAnsi"/>
          <w:color w:val="auto"/>
          <w:szCs w:val="24"/>
          <w:lang w:val="fr-029"/>
        </w:rPr>
        <w:t xml:space="preserve"> (L1</w:t>
      </w:r>
      <w:proofErr w:type="gramStart"/>
      <w:r w:rsidRPr="00CD1CF5">
        <w:rPr>
          <w:rFonts w:asciiTheme="majorHAnsi" w:hAnsiTheme="majorHAnsi" w:cstheme="majorHAnsi"/>
          <w:color w:val="auto"/>
          <w:szCs w:val="24"/>
          <w:lang w:val="fr-029"/>
        </w:rPr>
        <w:t>);</w:t>
      </w:r>
      <w:proofErr w:type="gramEnd"/>
    </w:p>
    <w:p w14:paraId="3F251415" w14:textId="77777777" w:rsidR="0070721A" w:rsidRDefault="00000000">
      <w:r>
        <w:t>The relationship between the 19 L1 modalities and the NCCD's 20 canonical definitions is assessed in Methods ("Relationship to the NCCD canonical ontology").</w:t>
      </w:r>
    </w:p>
    <w:p w14:paraId="0C802E3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7 subtypes (L2);</w:t>
      </w:r>
    </w:p>
    <w:p w14:paraId="2C78C8F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2</w:t>
      </w:r>
      <w:r w:rsidRPr="00CD1CF5">
        <w:rPr>
          <w:rFonts w:asciiTheme="majorHAnsi" w:hAnsiTheme="majorHAnsi" w:cstheme="majorHAnsi"/>
          <w:color w:val="auto"/>
          <w:szCs w:val="24"/>
        </w:rPr>
        <w:t xml:space="preserve"> triggers (L3);</w:t>
      </w:r>
    </w:p>
    <w:p w14:paraId="30C3A525"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13 functional/contextual categories (L4);</w:t>
      </w:r>
    </w:p>
    <w:p w14:paraId="5CA3535B" w14:textId="77777777" w:rsidR="00BB22A7" w:rsidRPr="000D6250" w:rsidRDefault="00BB22A7" w:rsidP="00CD1CF5">
      <w:pPr>
        <w:spacing w:line="240" w:lineRule="auto"/>
        <w:rPr>
          <w:rFonts w:asciiTheme="majorHAnsi" w:hAnsiTheme="majorHAnsi" w:cstheme="majorHAnsi"/>
          <w:color w:val="auto"/>
          <w:szCs w:val="24"/>
          <w:lang w:val="es-CO"/>
        </w:rPr>
      </w:pPr>
      <w:r w:rsidRPr="000D6250">
        <w:rPr>
          <w:rFonts w:asciiTheme="majorHAnsi" w:hAnsiTheme="majorHAnsi" w:cstheme="majorHAnsi"/>
          <w:color w:val="auto"/>
          <w:szCs w:val="24"/>
          <w:lang w:val="es-CO"/>
        </w:rPr>
        <w:t xml:space="preserve">• 12 </w:t>
      </w:r>
      <w:proofErr w:type="spellStart"/>
      <w:r w:rsidRPr="000D6250">
        <w:rPr>
          <w:rFonts w:asciiTheme="majorHAnsi" w:hAnsiTheme="majorHAnsi" w:cstheme="majorHAnsi"/>
          <w:color w:val="auto"/>
          <w:szCs w:val="24"/>
          <w:lang w:val="es-CO"/>
        </w:rPr>
        <w:t>generic</w:t>
      </w:r>
      <w:proofErr w:type="spellEnd"/>
      <w:r w:rsidRPr="000D6250">
        <w:rPr>
          <w:rFonts w:asciiTheme="majorHAnsi" w:hAnsiTheme="majorHAnsi" w:cstheme="majorHAnsi"/>
          <w:color w:val="auto"/>
          <w:szCs w:val="24"/>
          <w:lang w:val="es-CO"/>
        </w:rPr>
        <w:t xml:space="preserve">/umbrella/taxon </w:t>
      </w:r>
      <w:proofErr w:type="spellStart"/>
      <w:r w:rsidRPr="000D6250">
        <w:rPr>
          <w:rFonts w:asciiTheme="majorHAnsi" w:hAnsiTheme="majorHAnsi" w:cstheme="majorHAnsi"/>
          <w:color w:val="auto"/>
          <w:szCs w:val="24"/>
          <w:lang w:val="es-CO"/>
        </w:rPr>
        <w:t>concepts</w:t>
      </w:r>
      <w:proofErr w:type="spellEnd"/>
      <w:r w:rsidRPr="000D6250">
        <w:rPr>
          <w:rFonts w:asciiTheme="majorHAnsi" w:hAnsiTheme="majorHAnsi" w:cstheme="majorHAnsi"/>
          <w:color w:val="auto"/>
          <w:szCs w:val="24"/>
          <w:lang w:val="es-CO"/>
        </w:rPr>
        <w:t xml:space="preserve"> (L5).</w:t>
      </w:r>
    </w:p>
    <w:p w14:paraId="00C1BEE0" w14:textId="77777777" w:rsidR="00BB22A7" w:rsidRPr="00CD1CF5" w:rsidRDefault="00BB22A7" w:rsidP="00CD1CF5">
      <w:pPr>
        <w:spacing w:line="240" w:lineRule="auto"/>
        <w:rPr>
          <w:rFonts w:asciiTheme="majorHAnsi" w:hAnsiTheme="majorHAnsi" w:cstheme="majorHAnsi"/>
          <w:color w:val="auto"/>
          <w:szCs w:val="24"/>
        </w:rPr>
      </w:pPr>
      <w:proofErr w:type="gramStart"/>
      <w:r w:rsidRPr="00CD1CF5">
        <w:rPr>
          <w:rFonts w:asciiTheme="majorHAnsi" w:hAnsiTheme="majorHAnsi" w:cstheme="majorHAnsi"/>
          <w:color w:val="auto"/>
          <w:szCs w:val="24"/>
        </w:rPr>
        <w:t>Thus</w:t>
      </w:r>
      <w:proofErr w:type="gramEnd"/>
      <w:r w:rsidRPr="00CD1CF5">
        <w:rPr>
          <w:rFonts w:asciiTheme="majorHAnsi" w:hAnsiTheme="majorHAnsi" w:cstheme="majorHAnsi"/>
          <w:color w:val="auto"/>
          <w:szCs w:val="24"/>
        </w:rPr>
        <w:t xml:space="preserve"> the headline count of 53 is a count of </w:t>
      </w:r>
      <w:r w:rsidRPr="00CD1CF5">
        <w:rPr>
          <w:rFonts w:asciiTheme="majorHAnsi" w:hAnsiTheme="majorHAnsi" w:cstheme="majorHAnsi"/>
          <w:b/>
          <w:color w:val="auto"/>
          <w:szCs w:val="24"/>
        </w:rPr>
        <w:t>normalized vocabulary entries</w:t>
      </w:r>
      <w:r w:rsidRPr="00CD1CF5">
        <w:rPr>
          <w:rFonts w:asciiTheme="majorHAnsi" w:hAnsiTheme="majorHAnsi" w:cstheme="majorHAnsi"/>
          <w:color w:val="auto"/>
          <w:szCs w:val="24"/>
        </w:rPr>
        <w:t>, not of established modalities. Only the 19 L1 entities are described as bona fide RCD modalities.</w:t>
      </w:r>
    </w:p>
    <w:p w14:paraId="23C451A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5. Preservation of provenance</w:t>
      </w:r>
    </w:p>
    <w:p w14:paraId="3D7DF31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never overwrites the original source terminology. Every association row retains its source form (`</w:t>
      </w:r>
      <w:proofErr w:type="spellStart"/>
      <w:r w:rsidRPr="00CD1CF5">
        <w:rPr>
          <w:rFonts w:asciiTheme="majorHAnsi" w:hAnsiTheme="majorHAnsi" w:cstheme="majorHAnsi"/>
          <w:color w:val="auto"/>
          <w:szCs w:val="24"/>
        </w:rPr>
        <w:t>rcd_form</w:t>
      </w:r>
      <w:proofErr w:type="spellEnd"/>
      <w:r w:rsidRPr="00CD1CF5">
        <w:rPr>
          <w:rFonts w:asciiTheme="majorHAnsi" w:hAnsiTheme="majorHAnsi" w:cstheme="majorHAnsi"/>
          <w:color w:val="auto"/>
          <w:szCs w:val="24"/>
        </w:rPr>
        <w:t>`) in parallel with the normalized identifier (`</w:t>
      </w:r>
      <w:proofErr w:type="spellStart"/>
      <w:r w:rsidRPr="00CD1CF5">
        <w:rPr>
          <w:rFonts w:asciiTheme="majorHAnsi" w:hAnsiTheme="majorHAnsi" w:cstheme="majorHAnsi"/>
          <w:color w:val="auto"/>
          <w:szCs w:val="24"/>
        </w:rPr>
        <w:t>rcd_form_canonical</w:t>
      </w:r>
      <w:proofErr w:type="spellEnd"/>
      <w:r w:rsidRPr="00CD1CF5">
        <w:rPr>
          <w:rFonts w:asciiTheme="majorHAnsi" w:hAnsiTheme="majorHAnsi" w:cstheme="majorHAnsi"/>
          <w:color w:val="auto"/>
          <w:szCs w:val="24"/>
        </w:rPr>
        <w:t>`), so the provenance of each name (and therefore of each association) remains traceable to its source database or literature origin.</w:t>
      </w:r>
    </w:p>
    <w:p w14:paraId="23E3F397"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6. Avoiding semantic leakage</w:t>
      </w:r>
    </w:p>
    <w:p w14:paraId="7B04C06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Because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in informatics conventionally denotes a preferred normalized identifier, whereas in biology it can imply authoritative establishment, RCDome uses </w:t>
      </w:r>
      <w:r w:rsidRPr="00CD1CF5">
        <w:rPr>
          <w:rFonts w:asciiTheme="majorHAnsi" w:hAnsiTheme="majorHAnsi" w:cstheme="majorHAnsi"/>
          <w:b/>
          <w:color w:val="auto"/>
          <w:szCs w:val="24"/>
        </w:rPr>
        <w:t>"canonicalized"</w:t>
      </w:r>
      <w:r w:rsidRPr="00CD1CF5">
        <w:rPr>
          <w:rFonts w:asciiTheme="majorHAnsi" w:hAnsiTheme="majorHAnsi" w:cstheme="majorHAnsi"/>
          <w:color w:val="auto"/>
          <w:szCs w:val="24"/>
        </w:rPr>
        <w:t xml:space="preserve"> for the vocabulary operation and reserves </w:t>
      </w:r>
      <w:r w:rsidRPr="00CD1CF5">
        <w:rPr>
          <w:rFonts w:asciiTheme="majorHAnsi" w:hAnsiTheme="majorHAnsi" w:cstheme="majorHAnsi"/>
          <w:b/>
          <w:color w:val="auto"/>
          <w:szCs w:val="24"/>
        </w:rPr>
        <w:t>"canonical"</w:t>
      </w:r>
      <w:r w:rsidRPr="00CD1CF5">
        <w:rPr>
          <w:rFonts w:asciiTheme="majorHAnsi" w:hAnsiTheme="majorHAnsi" w:cstheme="majorHAnsi"/>
          <w:color w:val="auto"/>
          <w:szCs w:val="24"/>
        </w:rPr>
        <w:t xml:space="preserve"> and </w:t>
      </w:r>
      <w:r w:rsidRPr="00CD1CF5">
        <w:rPr>
          <w:rFonts w:asciiTheme="majorHAnsi" w:hAnsiTheme="majorHAnsi" w:cstheme="majorHAnsi"/>
          <w:b/>
          <w:color w:val="auto"/>
          <w:szCs w:val="24"/>
        </w:rPr>
        <w:t>"bona fide"</w:t>
      </w:r>
      <w:r w:rsidRPr="00CD1CF5">
        <w:rPr>
          <w:rFonts w:asciiTheme="majorHAnsi" w:hAnsiTheme="majorHAnsi" w:cstheme="majorHAnsi"/>
          <w:color w:val="auto"/>
          <w:szCs w:val="24"/>
        </w:rPr>
        <w:t xml:space="preserve"> for biological/ontological status. This lexical distinction is maintained consistently across the manuscript, supplementary material, figures, tables, and the web application so that a reader cannot conflate inclusion in the controlled vocabulary with biological endorsement.</w:t>
      </w:r>
    </w:p>
    <w:p w14:paraId="0056BD8A" w14:textId="77777777" w:rsidR="00BB22A7" w:rsidRPr="00CD1CF5" w:rsidRDefault="00BB22A7" w:rsidP="00CD1CF5">
      <w:pPr>
        <w:pStyle w:val="Ttulo1"/>
        <w:spacing w:before="0" w:line="240" w:lineRule="auto"/>
        <w:rPr>
          <w:rFonts w:cstheme="majorHAnsi"/>
          <w:sz w:val="24"/>
          <w:szCs w:val="24"/>
        </w:rPr>
      </w:pPr>
    </w:p>
    <w:p w14:paraId="1AB20391" w14:textId="77777777" w:rsidR="00BB22A7" w:rsidRPr="00CD1CF5" w:rsidRDefault="00BB22A7" w:rsidP="00CD1CF5">
      <w:pPr>
        <w:pStyle w:val="Ttulo1"/>
        <w:spacing w:before="0" w:line="240" w:lineRule="auto"/>
        <w:rPr>
          <w:rFonts w:cstheme="majorHAnsi"/>
          <w:sz w:val="24"/>
          <w:szCs w:val="24"/>
        </w:rPr>
      </w:pPr>
      <w:r w:rsidRPr="00CD1CF5">
        <w:rPr>
          <w:rFonts w:cstheme="majorHAnsi"/>
          <w:sz w:val="24"/>
          <w:szCs w:val="24"/>
          <w:highlight w:val="green"/>
        </w:rPr>
        <w:t>Supplementary Note S5</w:t>
      </w:r>
      <w:r w:rsidRPr="00CD1CF5">
        <w:rPr>
          <w:rFonts w:cstheme="majorHAnsi"/>
          <w:sz w:val="24"/>
          <w:szCs w:val="24"/>
        </w:rPr>
        <w:t xml:space="preserve"> - RCDome: AI Usage, Tokens, and Cost: </w:t>
      </w:r>
    </w:p>
    <w:p w14:paraId="3A3FA081"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records the compute, token, runtime, and cost values for every AI-assisted phase of the RCDome pipeline. These figures were removed from the main manuscript (Methods, Results, and Discussion) and are documented here for full transparency and reproducibility.</w:t>
      </w:r>
    </w:p>
    <w:p w14:paraId="35FD3A06" w14:textId="77777777" w:rsidR="00BB22A7" w:rsidRPr="00CD1CF5" w:rsidRDefault="00BB22A7" w:rsidP="00CD1CF5">
      <w:pPr>
        <w:spacing w:after="0" w:line="240" w:lineRule="auto"/>
        <w:rPr>
          <w:rFonts w:asciiTheme="majorHAnsi" w:hAnsiTheme="majorHAnsi" w:cstheme="majorHAnsi"/>
          <w:szCs w:val="24"/>
        </w:rPr>
      </w:pPr>
    </w:p>
    <w:p w14:paraId="4EA7C4C1"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1. Phase 2A/D: Two-call LLM validation (full matrix)</w:t>
      </w:r>
    </w:p>
    <w:tbl>
      <w:tblPr>
        <w:tblStyle w:val="GradeClara-nfase1"/>
        <w:tblW w:w="0" w:type="auto"/>
        <w:tblLook w:val="04A0" w:firstRow="1" w:lastRow="0" w:firstColumn="1" w:lastColumn="0" w:noHBand="0" w:noVBand="1"/>
      </w:tblPr>
      <w:tblGrid>
        <w:gridCol w:w="4261"/>
        <w:gridCol w:w="4268"/>
      </w:tblGrid>
      <w:tr w:rsidR="00BB22A7" w:rsidRPr="00CD1CF5" w14:paraId="09E3C9D0"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34126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Rows validated</w:t>
            </w:r>
          </w:p>
        </w:tc>
        <w:tc>
          <w:tcPr>
            <w:tcW w:w="4320" w:type="dxa"/>
          </w:tcPr>
          <w:p w14:paraId="09B1ED28"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21,568 unique gene-RCD pairs</w:t>
            </w:r>
          </w:p>
        </w:tc>
      </w:tr>
      <w:tr w:rsidR="00BB22A7" w:rsidRPr="00CD1CF5" w14:paraId="341ABF6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1DF7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62A6CD3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~35 hours (dedicated server, sequential)</w:t>
            </w:r>
          </w:p>
        </w:tc>
      </w:tr>
      <w:tr w:rsidR="00BB22A7" w:rsidRPr="00CD1CF5" w14:paraId="55327567"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2D7A6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48BEA7A6"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~US$12</w:t>
            </w:r>
          </w:p>
        </w:tc>
      </w:tr>
      <w:tr w:rsidR="00BB22A7" w:rsidRPr="00CD1CF5" w14:paraId="2C72629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CEDD8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1A14D66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million</w:t>
            </w:r>
          </w:p>
        </w:tc>
      </w:tr>
      <w:tr w:rsidR="00BB22A7" w:rsidRPr="00CD1CF5" w14:paraId="11DAD71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3D430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3840326A"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13795064"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2. Phase 2A/D: MSigDB extension (1,832 pairs)</w:t>
      </w:r>
    </w:p>
    <w:tbl>
      <w:tblPr>
        <w:tblStyle w:val="GradeClara-nfase1"/>
        <w:tblW w:w="0" w:type="auto"/>
        <w:tblLook w:val="04A0" w:firstRow="1" w:lastRow="0" w:firstColumn="1" w:lastColumn="0" w:noHBand="0" w:noVBand="1"/>
      </w:tblPr>
      <w:tblGrid>
        <w:gridCol w:w="4261"/>
        <w:gridCol w:w="4268"/>
      </w:tblGrid>
      <w:tr w:rsidR="00BB22A7" w:rsidRPr="00CD1CF5" w14:paraId="4E2C8D15"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0DBC0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19F459FA"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1,832 MSigDB-only gene-set pairs</w:t>
            </w:r>
          </w:p>
        </w:tc>
      </w:tr>
      <w:tr w:rsidR="00BB22A7" w:rsidRPr="00CD1CF5" w14:paraId="7AFCBD6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2D407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490FB76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~1–2 hours (8-thread parallel)</w:t>
            </w:r>
          </w:p>
        </w:tc>
      </w:tr>
      <w:tr w:rsidR="00BB22A7" w:rsidRPr="00CD1CF5" w14:paraId="1F0232F6"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A9BA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4531B539"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~US$3–5 (estimated)</w:t>
            </w:r>
          </w:p>
        </w:tc>
      </w:tr>
      <w:tr w:rsidR="00BB22A7" w:rsidRPr="00CD1CF5" w14:paraId="6F4D6BA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9C66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Tokens</w:t>
            </w:r>
          </w:p>
        </w:tc>
        <w:tc>
          <w:tcPr>
            <w:tcW w:w="4320" w:type="dxa"/>
          </w:tcPr>
          <w:p w14:paraId="1EEC6E3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million</w:t>
            </w:r>
          </w:p>
        </w:tc>
      </w:tr>
      <w:tr w:rsidR="00BB22A7" w:rsidRPr="00CD1CF5" w14:paraId="12CE8E4F"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26E10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56945004"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193632E9"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3. Phase 2B: Europe PMC full-text deep RAG</w:t>
      </w:r>
    </w:p>
    <w:tbl>
      <w:tblPr>
        <w:tblStyle w:val="GradeClara-nfase1"/>
        <w:tblW w:w="0" w:type="auto"/>
        <w:tblLook w:val="04A0" w:firstRow="1" w:lastRow="0" w:firstColumn="1" w:lastColumn="0" w:noHBand="0" w:noVBand="1"/>
      </w:tblPr>
      <w:tblGrid>
        <w:gridCol w:w="4242"/>
        <w:gridCol w:w="4287"/>
      </w:tblGrid>
      <w:tr w:rsidR="00BB22A7" w:rsidRPr="00CD1CF5" w14:paraId="76FC572B"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4BCFB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Articles processed</w:t>
            </w:r>
          </w:p>
        </w:tc>
        <w:tc>
          <w:tcPr>
            <w:tcW w:w="4320" w:type="dxa"/>
          </w:tcPr>
          <w:p w14:paraId="2A6B71E0"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167,868 open-access full-text articles</w:t>
            </w:r>
          </w:p>
        </w:tc>
      </w:tr>
      <w:tr w:rsidR="00BB22A7" w:rsidRPr="00CD1CF5" w14:paraId="61E84320"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A900A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with deep evidence</w:t>
            </w:r>
          </w:p>
        </w:tc>
        <w:tc>
          <w:tcPr>
            <w:tcW w:w="4320" w:type="dxa"/>
          </w:tcPr>
          <w:p w14:paraId="738C2159"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 rows (1,118 unique pairs)</w:t>
            </w:r>
          </w:p>
        </w:tc>
      </w:tr>
      <w:tr w:rsidR="00BB22A7" w:rsidRPr="00CD1CF5" w14:paraId="349C48DF"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3FCC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64E4B262"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million (phase2b_audit_</w:t>
            </w:r>
            <w:proofErr w:type="gramStart"/>
            <w:r w:rsidRPr="00CD1CF5">
              <w:rPr>
                <w:rFonts w:asciiTheme="majorHAnsi" w:hAnsiTheme="majorHAnsi" w:cstheme="majorHAnsi"/>
                <w:szCs w:val="24"/>
              </w:rPr>
              <w:t>report.json</w:t>
            </w:r>
            <w:proofErr w:type="gramEnd"/>
            <w:r w:rsidRPr="00CD1CF5">
              <w:rPr>
                <w:rFonts w:asciiTheme="majorHAnsi" w:hAnsiTheme="majorHAnsi" w:cstheme="majorHAnsi"/>
                <w:szCs w:val="24"/>
              </w:rPr>
              <w:t>)</w:t>
            </w:r>
          </w:p>
        </w:tc>
      </w:tr>
      <w:tr w:rsidR="00BB22A7" w:rsidRPr="00CD1CF5" w14:paraId="46CF1EC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A462B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3F6CAA5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multi-day (Zima, 8-thread)</w:t>
            </w:r>
          </w:p>
        </w:tc>
      </w:tr>
      <w:tr w:rsidR="00BB22A7" w:rsidRPr="00CD1CF5" w14:paraId="7FC38A7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D607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Cost</w:t>
            </w:r>
          </w:p>
        </w:tc>
        <w:tc>
          <w:tcPr>
            <w:tcW w:w="4320" w:type="dxa"/>
          </w:tcPr>
          <w:p w14:paraId="51CB4FDC"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not itemized per phase (deepseek-chat)</w:t>
            </w:r>
          </w:p>
        </w:tc>
      </w:tr>
    </w:tbl>
    <w:p w14:paraId="0BA374B0"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4. Phase 2C: Europe PMC full-text recovery (DeepSeek)</w:t>
      </w:r>
    </w:p>
    <w:tbl>
      <w:tblPr>
        <w:tblStyle w:val="GradeClara-nfase1"/>
        <w:tblW w:w="0" w:type="auto"/>
        <w:tblLook w:val="04A0" w:firstRow="1" w:lastRow="0" w:firstColumn="1" w:lastColumn="0" w:noHBand="0" w:noVBand="1"/>
      </w:tblPr>
      <w:tblGrid>
        <w:gridCol w:w="4261"/>
        <w:gridCol w:w="4268"/>
      </w:tblGrid>
      <w:tr w:rsidR="00BB22A7" w:rsidRPr="00CD1CF5" w14:paraId="2F8AEAB9"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030D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recovered</w:t>
            </w:r>
          </w:p>
        </w:tc>
        <w:tc>
          <w:tcPr>
            <w:tcW w:w="4320" w:type="dxa"/>
          </w:tcPr>
          <w:p w14:paraId="201DBA90"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3,058 MECHANISTIC classifications</w:t>
            </w:r>
          </w:p>
        </w:tc>
      </w:tr>
      <w:tr w:rsidR="00BB22A7" w:rsidRPr="00CD1CF5" w14:paraId="20E61A7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5B8ED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768329C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369163F4"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5. Phase 2D: NCBI + DeepSeek novel-pair validation</w:t>
      </w:r>
    </w:p>
    <w:tbl>
      <w:tblPr>
        <w:tblStyle w:val="GradeClara-nfase1"/>
        <w:tblW w:w="0" w:type="auto"/>
        <w:tblLook w:val="04A0" w:firstRow="1" w:lastRow="0" w:firstColumn="1" w:lastColumn="0" w:noHBand="0" w:noVBand="1"/>
      </w:tblPr>
      <w:tblGrid>
        <w:gridCol w:w="4265"/>
        <w:gridCol w:w="4264"/>
      </w:tblGrid>
      <w:tr w:rsidR="00BB22A7" w:rsidRPr="00CD1CF5" w14:paraId="264D312C"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447A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592CC9F9"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1,341 novel unique pairs</w:t>
            </w:r>
          </w:p>
        </w:tc>
      </w:tr>
      <w:tr w:rsidR="00BB22A7" w:rsidRPr="00CD1CF5" w14:paraId="7F2B59A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643C0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72609B1B"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3D1B962A"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6. Phase 2E: Europe PMC + DeepSeek full-text recovery</w:t>
      </w:r>
    </w:p>
    <w:tbl>
      <w:tblPr>
        <w:tblStyle w:val="GradeClara-nfase1"/>
        <w:tblW w:w="0" w:type="auto"/>
        <w:tblLook w:val="04A0" w:firstRow="1" w:lastRow="0" w:firstColumn="1" w:lastColumn="0" w:noHBand="0" w:noVBand="1"/>
      </w:tblPr>
      <w:tblGrid>
        <w:gridCol w:w="4261"/>
        <w:gridCol w:w="4268"/>
      </w:tblGrid>
      <w:tr w:rsidR="00BB22A7" w:rsidRPr="00CD1CF5" w14:paraId="087B669A"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CA72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processed</w:t>
            </w:r>
          </w:p>
        </w:tc>
        <w:tc>
          <w:tcPr>
            <w:tcW w:w="4320" w:type="dxa"/>
          </w:tcPr>
          <w:p w14:paraId="0B8500C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1,724 non-MECHANISTIC pairs</w:t>
            </w:r>
          </w:p>
        </w:tc>
      </w:tr>
      <w:tr w:rsidR="00BB22A7" w:rsidRPr="00CD1CF5" w14:paraId="22756C1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1BDE0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Recovered</w:t>
            </w:r>
          </w:p>
        </w:tc>
        <w:tc>
          <w:tcPr>
            <w:tcW w:w="4320" w:type="dxa"/>
          </w:tcPr>
          <w:p w14:paraId="2521F309"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588 MECHANISTIC associations</w:t>
            </w:r>
          </w:p>
        </w:tc>
      </w:tr>
      <w:tr w:rsidR="00BB22A7" w:rsidRPr="00CD1CF5" w14:paraId="756C6672"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C0D98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3A65FB74"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5AA308B7"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7. Phase 3: Elicit systematic-review benchmark (3 forms)</w:t>
      </w:r>
    </w:p>
    <w:tbl>
      <w:tblPr>
        <w:tblStyle w:val="GradeClara-nfase1"/>
        <w:tblW w:w="0" w:type="auto"/>
        <w:tblLook w:val="04A0" w:firstRow="1" w:lastRow="0" w:firstColumn="1" w:lastColumn="0" w:noHBand="0" w:noVBand="1"/>
      </w:tblPr>
      <w:tblGrid>
        <w:gridCol w:w="4265"/>
        <w:gridCol w:w="4264"/>
      </w:tblGrid>
      <w:tr w:rsidR="00BB22A7" w:rsidRPr="00CD1CF5" w14:paraId="3265E4E5"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2448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Records extracted</w:t>
            </w:r>
          </w:p>
        </w:tc>
        <w:tc>
          <w:tcPr>
            <w:tcW w:w="4320" w:type="dxa"/>
          </w:tcPr>
          <w:p w14:paraId="755AAB2D"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784 governed records from 154 papers</w:t>
            </w:r>
          </w:p>
        </w:tc>
      </w:tr>
      <w:tr w:rsidR="00BB22A7" w:rsidRPr="00CD1CF5" w14:paraId="4FF4D51D"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0AEF4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608B02BC"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 minutes</w:t>
            </w:r>
          </w:p>
        </w:tc>
      </w:tr>
      <w:tr w:rsidR="00BB22A7" w:rsidRPr="00CD1CF5" w14:paraId="38610D22"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A0AC2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API cost</w:t>
            </w:r>
          </w:p>
        </w:tc>
        <w:tc>
          <w:tcPr>
            <w:tcW w:w="4320" w:type="dxa"/>
          </w:tcPr>
          <w:p w14:paraId="74FA10BD"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~US$18 (3 forms x ~$6 per form)</w:t>
            </w:r>
          </w:p>
        </w:tc>
      </w:tr>
    </w:tbl>
    <w:p w14:paraId="7E41AF88"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8. Phase 3: Elicit full extraction (50 forms)</w:t>
      </w:r>
    </w:p>
    <w:tbl>
      <w:tblPr>
        <w:tblStyle w:val="GradeClara-nfase1"/>
        <w:tblW w:w="0" w:type="auto"/>
        <w:tblLook w:val="04A0" w:firstRow="1" w:lastRow="0" w:firstColumn="1" w:lastColumn="0" w:noHBand="0" w:noVBand="1"/>
      </w:tblPr>
      <w:tblGrid>
        <w:gridCol w:w="4260"/>
        <w:gridCol w:w="4269"/>
      </w:tblGrid>
      <w:tr w:rsidR="00BB22A7" w:rsidRPr="00CD1CF5" w14:paraId="3FE10751"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800F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Associations extracted</w:t>
            </w:r>
          </w:p>
        </w:tc>
        <w:tc>
          <w:tcPr>
            <w:tcW w:w="4320" w:type="dxa"/>
          </w:tcPr>
          <w:p w14:paraId="1D4A2102"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4,602 across 50 RCD forms</w:t>
            </w:r>
          </w:p>
        </w:tc>
      </w:tr>
      <w:tr w:rsidR="00BB22A7" w:rsidRPr="00CD1CF5" w14:paraId="3A7D18FD"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2941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Triaged</w:t>
            </w:r>
          </w:p>
        </w:tc>
        <w:tc>
          <w:tcPr>
            <w:tcW w:w="4320" w:type="dxa"/>
          </w:tcPr>
          <w:p w14:paraId="2D5895F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3,803 genuine, 798 association_only, 1 retracted</w:t>
            </w:r>
          </w:p>
        </w:tc>
      </w:tr>
      <w:tr w:rsidR="00BB22A7" w:rsidRPr="00CD1CF5" w14:paraId="1A7B574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3484F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35DDD684"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3DC1FB7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CF0F2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w:t>
            </w:r>
          </w:p>
        </w:tc>
        <w:tc>
          <w:tcPr>
            <w:tcW w:w="4320" w:type="dxa"/>
          </w:tcPr>
          <w:p w14:paraId="0A857ABB"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bl>
    <w:p w14:paraId="55D8485D"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9. Governance literature extraction (DeepSeek, separate track)</w:t>
      </w:r>
    </w:p>
    <w:tbl>
      <w:tblPr>
        <w:tblStyle w:val="GradeClara-nfase1"/>
        <w:tblW w:w="0" w:type="auto"/>
        <w:tblLook w:val="04A0" w:firstRow="1" w:lastRow="0" w:firstColumn="1" w:lastColumn="0" w:noHBand="0" w:noVBand="1"/>
      </w:tblPr>
      <w:tblGrid>
        <w:gridCol w:w="4266"/>
        <w:gridCol w:w="4263"/>
      </w:tblGrid>
      <w:tr w:rsidR="00BB22A7" w:rsidRPr="00CD1CF5" w14:paraId="1423ACD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CEC9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Corpus</w:t>
            </w:r>
          </w:p>
        </w:tc>
        <w:tc>
          <w:tcPr>
            <w:tcW w:w="4320" w:type="dxa"/>
          </w:tcPr>
          <w:p w14:paraId="38EDC17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1,500 papers (search + snowball)</w:t>
            </w:r>
          </w:p>
        </w:tc>
      </w:tr>
      <w:tr w:rsidR="00BB22A7" w:rsidRPr="00CD1CF5" w14:paraId="5DD5A36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A9F62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Papers processed</w:t>
            </w:r>
          </w:p>
        </w:tc>
        <w:tc>
          <w:tcPr>
            <w:tcW w:w="4320" w:type="dxa"/>
          </w:tcPr>
          <w:p w14:paraId="0E54949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1,308</w:t>
            </w:r>
          </w:p>
        </w:tc>
      </w:tr>
      <w:tr w:rsidR="00BB22A7" w:rsidRPr="00CD1CF5" w14:paraId="19AD9599"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A568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Items extracted</w:t>
            </w:r>
          </w:p>
        </w:tc>
        <w:tc>
          <w:tcPr>
            <w:tcW w:w="4320" w:type="dxa"/>
          </w:tcPr>
          <w:p w14:paraId="24061DAF"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27,852 verbatim-anchored items</w:t>
            </w:r>
          </w:p>
        </w:tc>
      </w:tr>
      <w:tr w:rsidR="00BB22A7" w:rsidRPr="00CD1CF5" w14:paraId="3001973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0CBF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Raw themes</w:t>
            </w:r>
          </w:p>
        </w:tc>
        <w:tc>
          <w:tcPr>
            <w:tcW w:w="4320" w:type="dxa"/>
          </w:tcPr>
          <w:p w14:paraId="3DACFA0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3,313</w:t>
            </w:r>
          </w:p>
        </w:tc>
      </w:tr>
      <w:tr w:rsidR="00BB22A7" w:rsidRPr="00CD1CF5" w14:paraId="378F208B"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318A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Framework themes</w:t>
            </w:r>
          </w:p>
        </w:tc>
        <w:tc>
          <w:tcPr>
            <w:tcW w:w="4320" w:type="dxa"/>
          </w:tcPr>
          <w:p w14:paraId="1FA5D2A7"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419 (255 AI-governance, 71 human-clinical, 93 ambiguous)</w:t>
            </w:r>
          </w:p>
        </w:tc>
      </w:tr>
      <w:tr w:rsidR="00BB22A7" w:rsidRPr="00CD1CF5" w14:paraId="2FAEF52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E0401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Core themes</w:t>
            </w:r>
          </w:p>
        </w:tc>
        <w:tc>
          <w:tcPr>
            <w:tcW w:w="4320" w:type="dxa"/>
          </w:tcPr>
          <w:p w14:paraId="1E07E37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70</w:t>
            </w:r>
          </w:p>
        </w:tc>
      </w:tr>
      <w:tr w:rsidR="00BB22A7" w:rsidRPr="00CD1CF5" w14:paraId="2719FA66"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006CC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Deduplicated themes</w:t>
            </w:r>
          </w:p>
        </w:tc>
        <w:tc>
          <w:tcPr>
            <w:tcW w:w="4320" w:type="dxa"/>
          </w:tcPr>
          <w:p w14:paraId="395904CD"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51</w:t>
            </w:r>
          </w:p>
        </w:tc>
      </w:tr>
      <w:tr w:rsidR="00BB22A7" w:rsidRPr="00CD1CF5" w14:paraId="56280AE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7F14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Status</w:t>
            </w:r>
          </w:p>
        </w:tc>
        <w:tc>
          <w:tcPr>
            <w:tcW w:w="4320" w:type="dxa"/>
          </w:tcPr>
          <w:p w14:paraId="07E0CD1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COMPLETE</w:t>
            </w:r>
          </w:p>
        </w:tc>
      </w:tr>
      <w:tr w:rsidR="00BB22A7" w:rsidRPr="00CD1CF5" w14:paraId="382B4D80"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7E25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4FF2FEF1"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 (Zima run logs)</w:t>
            </w:r>
          </w:p>
        </w:tc>
      </w:tr>
    </w:tbl>
    <w:p w14:paraId="7048FB31"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Combined DeepSeek token usage (to date)</w:t>
      </w:r>
    </w:p>
    <w:tbl>
      <w:tblPr>
        <w:tblStyle w:val="GradeClara-nfase1"/>
        <w:tblW w:w="0" w:type="auto"/>
        <w:tblLook w:val="04A0" w:firstRow="1" w:lastRow="0" w:firstColumn="1" w:lastColumn="0" w:noHBand="0" w:noVBand="1"/>
      </w:tblPr>
      <w:tblGrid>
        <w:gridCol w:w="4267"/>
        <w:gridCol w:w="4262"/>
      </w:tblGrid>
      <w:tr w:rsidR="00BB22A7" w:rsidRPr="00CD1CF5" w14:paraId="30E989AC"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D982E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(full matrix)</w:t>
            </w:r>
          </w:p>
        </w:tc>
        <w:tc>
          <w:tcPr>
            <w:tcW w:w="4320" w:type="dxa"/>
          </w:tcPr>
          <w:p w14:paraId="457EEA2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w:t>
            </w:r>
          </w:p>
        </w:tc>
      </w:tr>
      <w:tr w:rsidR="00BB22A7" w:rsidRPr="00CD1CF5" w14:paraId="0D984D1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536B7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(MSigDB extension)</w:t>
            </w:r>
          </w:p>
        </w:tc>
        <w:tc>
          <w:tcPr>
            <w:tcW w:w="4320" w:type="dxa"/>
          </w:tcPr>
          <w:p w14:paraId="3D4EA83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w:t>
            </w:r>
          </w:p>
        </w:tc>
      </w:tr>
      <w:tr w:rsidR="00BB22A7" w:rsidRPr="00CD1CF5" w14:paraId="4D25252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D1BED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2B deep RAG</w:t>
            </w:r>
          </w:p>
        </w:tc>
        <w:tc>
          <w:tcPr>
            <w:tcW w:w="4320" w:type="dxa"/>
          </w:tcPr>
          <w:p w14:paraId="579368B7"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w:t>
            </w:r>
          </w:p>
        </w:tc>
      </w:tr>
      <w:tr w:rsidR="00BB22A7" w:rsidRPr="00CD1CF5" w14:paraId="5E98210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0FEA0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Phase 2C recovery</w:t>
            </w:r>
          </w:p>
        </w:tc>
        <w:tc>
          <w:tcPr>
            <w:tcW w:w="4320" w:type="dxa"/>
          </w:tcPr>
          <w:p w14:paraId="6E917DE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2AAD674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38954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2D NCBI validation</w:t>
            </w:r>
          </w:p>
        </w:tc>
        <w:tc>
          <w:tcPr>
            <w:tcW w:w="4320" w:type="dxa"/>
          </w:tcPr>
          <w:p w14:paraId="4EC30541"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7801E29E"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5EFDE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2E Europe PMC recovery</w:t>
            </w:r>
          </w:p>
        </w:tc>
        <w:tc>
          <w:tcPr>
            <w:tcW w:w="4320" w:type="dxa"/>
          </w:tcPr>
          <w:p w14:paraId="2C3E95B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3E9B590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FCB7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Governance track</w:t>
            </w:r>
          </w:p>
        </w:tc>
        <w:tc>
          <w:tcPr>
            <w:tcW w:w="4320" w:type="dxa"/>
          </w:tcPr>
          <w:p w14:paraId="250EA9F8"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6EFB954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405E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 (recorded phases)</w:t>
            </w:r>
          </w:p>
        </w:tc>
        <w:tc>
          <w:tcPr>
            <w:tcW w:w="4320" w:type="dxa"/>
          </w:tcPr>
          <w:p w14:paraId="5D53B2B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~1.45 B</w:t>
            </w:r>
          </w:p>
        </w:tc>
      </w:tr>
    </w:tbl>
    <w:p w14:paraId="449AC898"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Total AI cost summary</w:t>
      </w:r>
    </w:p>
    <w:tbl>
      <w:tblPr>
        <w:tblStyle w:val="GradeClara-nfase1"/>
        <w:tblW w:w="0" w:type="auto"/>
        <w:tblLook w:val="04A0" w:firstRow="1" w:lastRow="0" w:firstColumn="1" w:lastColumn="0" w:noHBand="0" w:noVBand="1"/>
      </w:tblPr>
      <w:tblGrid>
        <w:gridCol w:w="4265"/>
        <w:gridCol w:w="4264"/>
      </w:tblGrid>
      <w:tr w:rsidR="00BB22A7" w:rsidRPr="00CD1CF5" w14:paraId="75DCC03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0E362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194136B7"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26FEAD9F"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C6794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 (full 50-form run)</w:t>
            </w:r>
          </w:p>
        </w:tc>
        <w:tc>
          <w:tcPr>
            <w:tcW w:w="4320" w:type="dxa"/>
          </w:tcPr>
          <w:p w14:paraId="4928382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r w:rsidR="00BB22A7" w:rsidRPr="00CD1CF5" w14:paraId="4E11B3A1"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577FD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tokens (all phases)</w:t>
            </w:r>
          </w:p>
        </w:tc>
        <w:tc>
          <w:tcPr>
            <w:tcW w:w="4320" w:type="dxa"/>
          </w:tcPr>
          <w:p w14:paraId="1ED0DF42"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US$1,000.00</w:t>
            </w:r>
          </w:p>
        </w:tc>
      </w:tr>
      <w:tr w:rsidR="00BB22A7" w:rsidRPr="00CD1CF5" w14:paraId="2EF523FF"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4FA5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w:t>
            </w:r>
          </w:p>
        </w:tc>
        <w:tc>
          <w:tcPr>
            <w:tcW w:w="4320" w:type="dxa"/>
          </w:tcPr>
          <w:p w14:paraId="5DA57137"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US$7,000.00</w:t>
            </w:r>
          </w:p>
        </w:tc>
      </w:tr>
    </w:tbl>
    <w:p w14:paraId="0D72BF63"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Note</w:t>
      </w:r>
      <w:r w:rsidRPr="00CD1CF5">
        <w:rPr>
          <w:rFonts w:asciiTheme="majorHAnsi" w:hAnsiTheme="majorHAnsi" w:cstheme="majorHAnsi"/>
          <w:szCs w:val="24"/>
        </w:rPr>
        <w:t>: token counts are as reported by the DeepSeek API usage fields and the per-run logs. Costs are direct API and license charges; they exclude human time and server infrastructure. Token counts for Phases 2C, 2D, 2E, and the governance track are to be recorded from their run logs; the DeepSeek total of US$1,000 will be reconciled against those counts once recorded.</w:t>
      </w:r>
    </w:p>
    <w:p w14:paraId="0624F2F7" w14:textId="77777777" w:rsidR="00BB22A7" w:rsidRPr="00CD1CF5" w:rsidRDefault="00BB22A7" w:rsidP="00CD1CF5">
      <w:pPr>
        <w:spacing w:after="0" w:line="240" w:lineRule="auto"/>
        <w:rPr>
          <w:rFonts w:asciiTheme="majorHAnsi" w:hAnsiTheme="majorHAnsi" w:cstheme="majorHAnsi"/>
          <w:szCs w:val="24"/>
        </w:rPr>
      </w:pPr>
    </w:p>
    <w:p w14:paraId="52899178" w14:textId="77777777" w:rsidR="00BB22A7" w:rsidRPr="00CD1CF5" w:rsidRDefault="00BB22A7" w:rsidP="00CD1CF5">
      <w:pPr>
        <w:spacing w:after="0" w:line="240" w:lineRule="auto"/>
        <w:rPr>
          <w:rFonts w:asciiTheme="majorHAnsi" w:hAnsiTheme="majorHAnsi" w:cstheme="majorHAnsi"/>
          <w:b/>
          <w:bCs/>
          <w:szCs w:val="24"/>
        </w:rPr>
      </w:pPr>
    </w:p>
    <w:p w14:paraId="029E9B17" w14:textId="77777777" w:rsidR="00BB22A7" w:rsidRPr="00CD1CF5" w:rsidRDefault="00BB22A7"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highlight w:val="green"/>
        </w:rPr>
        <w:t>Supplementary Note S6</w:t>
      </w:r>
      <w:r w:rsidRPr="00CD1CF5">
        <w:rPr>
          <w:rFonts w:asciiTheme="majorHAnsi" w:hAnsiTheme="majorHAnsi" w:cstheme="majorHAnsi"/>
          <w:b/>
          <w:bCs/>
          <w:szCs w:val="24"/>
        </w:rPr>
        <w:t xml:space="preserve"> - RCDome: Digital Molecular RCD Board Benchmark</w:t>
      </w:r>
    </w:p>
    <w:p w14:paraId="19B06373"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Digital Molecular RCD Board benchmark, which evaluated a prose-synthesis module that answers gene–RCD queries strictly from the RCDome database and the RCDome decoder, with every claim traceable to a matrix row, a decoder field, or a recorded PMID.</w:t>
      </w:r>
    </w:p>
    <w:p w14:paraId="1EE3FF0F" w14:textId="77777777" w:rsidR="00DB4E22" w:rsidRPr="00CD1CF5" w:rsidRDefault="00DB4E22" w:rsidP="00CD1CF5">
      <w:pPr>
        <w:spacing w:after="0" w:line="240" w:lineRule="auto"/>
        <w:rPr>
          <w:rFonts w:asciiTheme="majorHAnsi" w:hAnsiTheme="majorHAnsi" w:cstheme="majorHAnsi"/>
          <w:b/>
          <w:bCs/>
          <w:szCs w:val="24"/>
        </w:rPr>
      </w:pPr>
    </w:p>
    <w:p w14:paraId="2BBCA97C"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Board governance</w:t>
      </w:r>
    </w:p>
    <w:p w14:paraId="7FBEB503"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board emits a single continuous prose synthesis with no headers, no bullet lists, and no markdown bold. Four provenance categories govern how each sentence is written without being printed as labels: facts with a PMID ("the RCDome database records … (PMID …)"), model annotation ("within the RCDome database …"), decoder context ("the RCDome decoder defines/states …"), and hypothesis ("Hypothesis:" or "may suggest" or "is consistent with"). Seven rules are enforced in the prompt and by a deterministic post-generation scrub, never by a second model: (1) only "RCDome database" and "RCDome decoder" are used, with the bare words "database", "decoder", and the internal term "matrix" banned (the matrix rule is biology-safe, ignoring extracellular matrix, mitochondrial matrix, and matrix metalloproteinase); (2) assertive causal verbs are replaced with hedging equivalents in all tenses; (3) genuine uncertainty phrasing is preserved; (4) the exact verbatim disclaimer is appended at the very end; (5) the synthesis body ends with exactly three numbered "Suggested Queries:" immediately before the disclaimer (auto-numbered, never invented); (6) only PMIDs present in the data may be cited, and the founding PMID is always cited when the entity's operational definition is described; and (7) a pair absent from the database is reported as "not recorded" without inventing a role or direction.</w:t>
      </w:r>
    </w:p>
    <w:p w14:paraId="5233326B" w14:textId="77777777" w:rsidR="00654118" w:rsidRPr="00CD1CF5" w:rsidRDefault="00654118" w:rsidP="00CD1CF5">
      <w:pPr>
        <w:spacing w:after="0" w:line="240" w:lineRule="auto"/>
        <w:rPr>
          <w:rFonts w:asciiTheme="majorHAnsi" w:hAnsiTheme="majorHAnsi" w:cstheme="majorHAnsi"/>
          <w:szCs w:val="24"/>
        </w:rPr>
      </w:pPr>
    </w:p>
    <w:p w14:paraId="1122164E"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retrieval strategy</w:t>
      </w:r>
    </w:p>
    <w:p w14:paraId="63BE633C"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The Q&amp;A submodule answers free-form questions across all 53 entities and all 9,265 genes. The complete gene–form matrix (22,473 rows, each carrying mechanistic class, role, direction, evidence tier, and PMID) exceeds the model context, so the Q&amp;A uses a retrieval-augmented strategy that never deletes data. A static layer always injects the complete gene–entity index (all 22,473 associations, names only) and the full 53-entity decoder. A dynamic layer then detects, for each question, the entities mentioned (by normalized name or its stem, so "apoptotic" matches Apoptosis) and any gene symbols, and injects the full four-dimension records for exactly those rows. Genes named explicitly in the question are always placed first so the budget can never displace them. The dynamic layer is capped so the full prompt stays within the model context (about 58K tokens), with a reply token limit applied. No entity or gene is ever excluded from the index, and every classification (MECHANISTIC, LITERATURE_GAP, CONTEXT_GAP, CO_OCCURRENCE, DATABASE_ONLY, INSUFFICIENT_DATA) remains retrievable, so a gene recorded as executor in one form and regulator in another is shown with both records.</w:t>
      </w:r>
    </w:p>
    <w:p w14:paraId="19F1D7C8" w14:textId="77777777" w:rsidR="00DB4E22" w:rsidRPr="00CD1CF5" w:rsidRDefault="00DB4E22" w:rsidP="00CD1CF5">
      <w:pPr>
        <w:spacing w:after="0" w:line="240" w:lineRule="auto"/>
        <w:rPr>
          <w:rFonts w:asciiTheme="majorHAnsi" w:hAnsiTheme="majorHAnsi" w:cstheme="majorHAnsi"/>
          <w:b/>
          <w:bCs/>
          <w:szCs w:val="24"/>
        </w:rPr>
      </w:pPr>
    </w:p>
    <w:p w14:paraId="6DEFC51B"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Benchmark design</w:t>
      </w:r>
    </w:p>
    <w:p w14:paraId="22699884"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benchmark (run_board_benchmark.py and audit_canonical.py) evaluates the board on nine tests, each with its own statistically determined sample size, 95% Wilson confidence interval, and significance test. The deterministic scrub is applied to the raw model output before the audit, so the audit measures the final, scrubbed text; scrub corrections are logged separately. The audit is a fixed 28-point checklist per synthesis report: 10 governance checks (causal verbs, hedging, disclaimer, three queries), 14 policy checks (terminology and relationship terms), and 4 accuracy checks (cited PMIDs exist, founding PMID cited, role matches, direction matches). Census reports use a 24-point lookup audit without the query requirement, and negative controls use a 29-point audit with inverted role and direction checks. Sample sizes follow the standard formulas: n = z²·p·(1−p)/E² for a proportion at 95% confidence (z = 1.96); n = (zα+zβ)²·2·p̄·(1−p̄)/Δ² to detect a difference at 80% power (zβ = 0.84); and the Wilson 95% interval (p + z²/2n ± z·√(p(1−p)/n + z²/4n²))/(1 + z²/n).</w:t>
      </w:r>
    </w:p>
    <w:p w14:paraId="480CD599" w14:textId="77777777" w:rsidR="00DB4E22" w:rsidRPr="00CD1CF5" w:rsidRDefault="00DB4E22" w:rsidP="00CD1CF5">
      <w:pPr>
        <w:spacing w:after="0" w:line="240" w:lineRule="auto"/>
        <w:rPr>
          <w:rFonts w:asciiTheme="majorHAnsi" w:hAnsiTheme="majorHAnsi" w:cstheme="majorHAnsi"/>
          <w:b/>
          <w:bCs/>
          <w:szCs w:val="24"/>
        </w:rPr>
      </w:pPr>
    </w:p>
    <w:p w14:paraId="2F6B19A9"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Results</w:t>
      </w:r>
    </w:p>
    <w:p w14:paraId="3AC44262"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benchmark ran on 2026-09-09 with seed 42, temperature 0.7, prompt v2-smoke-aligned, and the deepseek-chat model. Golden accuracy was 26/26 (100%; Wilson 95% CI 87.1–100%; binomial against 0.95, p = 0.639). Census accuracy was 53/53 (100%; CI 93.2–100%; binomial p = 0.114). Fact-stability on </w:t>
      </w:r>
      <w:r w:rsidRPr="00CD1CF5">
        <w:rPr>
          <w:rFonts w:asciiTheme="majorHAnsi" w:hAnsiTheme="majorHAnsi" w:cstheme="majorHAnsi"/>
          <w:i/>
          <w:szCs w:val="24"/>
        </w:rPr>
        <w:t>BAX</w:t>
      </w:r>
      <w:r w:rsidRPr="00CD1CF5">
        <w:rPr>
          <w:rFonts w:asciiTheme="majorHAnsi" w:hAnsiTheme="majorHAnsi" w:cstheme="majorHAnsi"/>
          <w:szCs w:val="24"/>
        </w:rPr>
        <w:t xml:space="preserve">-Apoptosis was 73/73 (100% per fact for gene, entity, and founding PMID; CI 95.0–100%). Governance showed 1 violation across 2,142 checks (0.047%; CI 0.008–0.264%), broken down as causality 0, hedge 0, disclaimer 0, queries 1, terminology 0, and accuracy 0. Anti-hallucination caught 4 of 4 traps (100%; CI 51.0–100%). Articulation conformed in 78 of 79 reports (98.7%; CI 93.2–99.8%). Model comparison favored deepseek-chat (26/26, 100%) over deepseek-reasoner (22/26, 84.6%). Chat governance passed 10/10 (100% across five question types). The single governance violation was </w:t>
      </w:r>
      <w:r w:rsidRPr="00CD1CF5">
        <w:rPr>
          <w:rFonts w:asciiTheme="majorHAnsi" w:hAnsiTheme="majorHAnsi" w:cstheme="majorHAnsi"/>
          <w:i/>
          <w:szCs w:val="24"/>
        </w:rPr>
        <w:t>MLKL</w:t>
      </w:r>
      <w:r w:rsidRPr="00CD1CF5">
        <w:rPr>
          <w:rFonts w:asciiTheme="majorHAnsi" w:hAnsiTheme="majorHAnsi" w:cstheme="majorHAnsi"/>
          <w:szCs w:val="24"/>
        </w:rPr>
        <w:t xml:space="preserve">-Necroptosis failing the exactly-three-queries check; on direct regeneration that same report passed 30/30, confirming this is temperature-driven prose variability rather than a systematic defect. The deterministic scrub applied 163 corrections across the </w:t>
      </w:r>
      <w:r w:rsidRPr="00CD1CF5">
        <w:rPr>
          <w:rFonts w:asciiTheme="majorHAnsi" w:hAnsiTheme="majorHAnsi" w:cstheme="majorHAnsi"/>
          <w:szCs w:val="24"/>
        </w:rPr>
        <w:lastRenderedPageBreak/>
        <w:t>run (55 bare database or decoder terms, causal-verb hedging, markdown-bold removal, and disclaimer and query normalization).</w:t>
      </w:r>
    </w:p>
    <w:p w14:paraId="16338937" w14:textId="77777777" w:rsidR="00DB4E22" w:rsidRPr="00CD1CF5" w:rsidRDefault="00DB4E22" w:rsidP="00CD1CF5">
      <w:pPr>
        <w:spacing w:after="0" w:line="240" w:lineRule="auto"/>
        <w:rPr>
          <w:rFonts w:asciiTheme="majorHAnsi" w:hAnsiTheme="majorHAnsi" w:cstheme="majorHAnsi"/>
          <w:b/>
          <w:szCs w:val="24"/>
        </w:rPr>
      </w:pPr>
    </w:p>
    <w:p w14:paraId="5223ADC4"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benchmark description and validation</w:t>
      </w:r>
    </w:p>
    <w:p w14:paraId="3DCE072E"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Q&amp;A submodule was benchmarked with the same statistical machinery as the board benchmark (point estimate, Wilson 95% CI, binomial test against a 0.95 null), using deepseek-chat, temperature 0.3, a 1500-token reply cap, and the full retrieval-augmented prompt. Two tests were run. T10 positive accuracy (n = 100; 25 golden executor or regulator gene–form pairs, each queried on role, direction, evidence tier, and supporting PMID) audited five checks per answer: the correct fact is cited, the RCDome source is named, the interpretation is hedged, the disclaimer is appended, and no PMID absent from the data is cited; the result was 100/100 = 100% (Wilson 95% CI 96.3–100%, binomial p = 0.010). T11 negative controls (n = 100; 8 not-recorded pairs queried on the same four types, plus 68 out-of-scope or fabrication queries) were all reported as absent or refused without a hallucinated PMID; the result was 100/100 = 100% (Wilson 95% CI 96.3–100%, binomial p = 0.010). The significance of the Q&amp;A submodule is that it makes the board a full-coverage interface rather than a single-entity viewer: the static layer keeps the complete gene–entity index and the dynamic layer </w:t>
      </w:r>
      <w:proofErr w:type="gramStart"/>
      <w:r w:rsidRPr="00CD1CF5">
        <w:rPr>
          <w:rFonts w:asciiTheme="majorHAnsi" w:hAnsiTheme="majorHAnsi" w:cstheme="majorHAnsi"/>
          <w:szCs w:val="24"/>
        </w:rPr>
        <w:t>retrieves</w:t>
      </w:r>
      <w:proofErr w:type="gramEnd"/>
      <w:r w:rsidRPr="00CD1CF5">
        <w:rPr>
          <w:rFonts w:asciiTheme="majorHAnsi" w:hAnsiTheme="majorHAnsi" w:cstheme="majorHAnsi"/>
          <w:szCs w:val="24"/>
        </w:rPr>
        <w:t xml:space="preserve"> the full four-dimension records on demand, so the Q&amp;A answers across all 53 entities and all 9,265 genes without funneling the data. Every classification (MECHANISTIC, LITERATURE_GAP, CONTEXT_GAP, CO_OCCURRENCE, DATABASE_ONLY, INSUFFICIENT_DATA) remains reachable, and a gene recorded as an executor in one form and a regulator in another is shown with both records (for example, </w:t>
      </w:r>
      <w:r w:rsidRPr="00CD1CF5">
        <w:rPr>
          <w:rFonts w:asciiTheme="majorHAnsi" w:hAnsiTheme="majorHAnsi" w:cstheme="majorHAnsi"/>
          <w:i/>
          <w:szCs w:val="24"/>
        </w:rPr>
        <w:t>BAX</w:t>
      </w:r>
      <w:r w:rsidRPr="00CD1CF5">
        <w:rPr>
          <w:rFonts w:asciiTheme="majorHAnsi" w:hAnsiTheme="majorHAnsi" w:cstheme="majorHAnsi"/>
          <w:szCs w:val="24"/>
        </w:rPr>
        <w:t xml:space="preserve"> as a mechanistic executor in apoptosis with PMID 17235284, together with its co-occurrence annotations in necroptosis and pyroptosis and its insufficient-data annotations in </w:t>
      </w:r>
      <w:proofErr w:type="spellStart"/>
      <w:r w:rsidRPr="00CD1CF5">
        <w:rPr>
          <w:rFonts w:asciiTheme="majorHAnsi" w:hAnsiTheme="majorHAnsi" w:cstheme="majorHAnsi"/>
          <w:szCs w:val="24"/>
        </w:rPr>
        <w:t>autosis</w:t>
      </w:r>
      <w:proofErr w:type="spellEnd"/>
      <w:r w:rsidRPr="00CD1CF5">
        <w:rPr>
          <w:rFonts w:asciiTheme="majorHAnsi" w:hAnsiTheme="majorHAnsi" w:cstheme="majorHAnsi"/>
          <w:szCs w:val="24"/>
        </w:rPr>
        <w:t>, erebosis, and oncosis). The 100% positive and negative results recorded zero hallucinated PMIDs across the benchmark, demonstrating that full coverage and zero observed hallucination were achieved together in the same module.</w:t>
      </w:r>
    </w:p>
    <w:p w14:paraId="23F6346C" w14:textId="77777777" w:rsidR="00654118" w:rsidRPr="00CD1CF5" w:rsidRDefault="00654118" w:rsidP="00CD1CF5">
      <w:pPr>
        <w:spacing w:after="0" w:line="240" w:lineRule="auto"/>
        <w:rPr>
          <w:rFonts w:asciiTheme="majorHAnsi" w:hAnsiTheme="majorHAnsi" w:cstheme="majorHAnsi"/>
          <w:szCs w:val="24"/>
        </w:rPr>
      </w:pPr>
    </w:p>
    <w:p w14:paraId="3745DC5E"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Statistical design.</w:t>
      </w:r>
      <w:r w:rsidRPr="00CD1CF5">
        <w:rPr>
          <w:rFonts w:asciiTheme="majorHAnsi" w:hAnsiTheme="majorHAnsi" w:cstheme="majorHAnsi"/>
          <w:szCs w:val="24"/>
        </w:rPr>
        <w:t xml:space="preserve"> The Q&amp;A tests use the same sample-size formulas as the board benchmark: proportion 95% CI n = z²·p·(1−p)/E² (z = 1.96); detect a defect Δ with 80% power n = (zα+z</w:t>
      </w:r>
      <w:proofErr w:type="gramStart"/>
      <w:r w:rsidRPr="00CD1CF5">
        <w:rPr>
          <w:rFonts w:asciiTheme="majorHAnsi" w:hAnsiTheme="majorHAnsi" w:cstheme="majorHAnsi"/>
          <w:szCs w:val="24"/>
        </w:rPr>
        <w:t>β)²</w:t>
      </w:r>
      <w:proofErr w:type="gramEnd"/>
      <w:r w:rsidRPr="00CD1CF5">
        <w:rPr>
          <w:rFonts w:asciiTheme="majorHAnsi" w:hAnsiTheme="majorHAnsi" w:cstheme="majorHAnsi"/>
          <w:szCs w:val="24"/>
        </w:rPr>
        <w:t>·2·p̄·(1−p̄)/Δ² (zβ = 0.84); Wilson 95% CI lower bound for 100% observed n</w:t>
      </w:r>
      <w:proofErr w:type="gramStart"/>
      <w:r w:rsidRPr="00CD1CF5">
        <w:rPr>
          <w:rFonts w:asciiTheme="majorHAnsi" w:hAnsiTheme="majorHAnsi" w:cstheme="majorHAnsi"/>
          <w:szCs w:val="24"/>
        </w:rPr>
        <w:t>/(</w:t>
      </w:r>
      <w:proofErr w:type="gramEnd"/>
      <w:r w:rsidRPr="00CD1CF5">
        <w:rPr>
          <w:rFonts w:asciiTheme="majorHAnsi" w:hAnsiTheme="majorHAnsi" w:cstheme="majorHAnsi"/>
          <w:szCs w:val="24"/>
        </w:rPr>
        <w:t>n + z²). A claim of accuracy at least 95% with 95% confidence requires the Wilson lower bound to reach 95%, which occurs at n = 73 (73/76.84 = 0.950). For two-sided significance against the 0.95 null, n = 100 gives p = 0.010. In power terms (80%): n = 77 detects a 15% absolute defect (p = 0.80), n = 142 detects 10%, and n = 436 detects 5%. The chosen n = 100 therefore detects an absolute defect of about 12.5% at 80% power, holds the Wilson lower bound at 96.3%, and gives a one-sided binomial p = 0.006 and a two-sided p = 0.010. T10 breakdown (25 pairs × 4 question types, all 100 passed): role 25/25, direction 25/25, evidence tier 25/25, supporting PMID 25/25. T11 breakdown: not-recorded 32/32 (8 pairs × 4 types), out-of-scope and fabrication refusal 68/68. Audit volume: T10 = 100 answers × 5 checks = 500; T11 = 32 not-recorded checks plus 68 refusal checks × 2 = 168; 668 checks in total, all passed.</w:t>
      </w:r>
    </w:p>
    <w:p w14:paraId="0E23C06B" w14:textId="77777777" w:rsidR="00DB4E22" w:rsidRPr="00CD1CF5" w:rsidRDefault="00DB4E22" w:rsidP="00CD1CF5">
      <w:pPr>
        <w:spacing w:after="0" w:line="240" w:lineRule="auto"/>
        <w:rPr>
          <w:rFonts w:asciiTheme="majorHAnsi" w:hAnsiTheme="majorHAnsi" w:cstheme="majorHAnsi"/>
          <w:b/>
          <w:bCs/>
          <w:szCs w:val="24"/>
        </w:rPr>
      </w:pPr>
    </w:p>
    <w:p w14:paraId="0C997A2D"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Code corrections</w:t>
      </w:r>
    </w:p>
    <w:p w14:paraId="76F0D7C0"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Six defects were found and fixed during validation: (1) the violation-type mapping had mislabeled the hedging and query checks and contained a dead branch, so hedge and query counts were reported incorrectly; (2) every failed check is now logged with its pair, check identifier, name, and exact detail rather than only tallies; (3) the scrub now removes markdown bold markers; (4) entities with the sentinel category CORE_PENDING are no longer falsely flagged, which corrected census accuracy from 51/53 to 53/53; (5) the query-count articulation check now applies only to synthesis and negative reports, not to census lookups; and (6) the matrix policy check now ignores extracellular matrix, mitochondrial matrix, and matrix metalloproteinase.</w:t>
      </w:r>
    </w:p>
    <w:p w14:paraId="1091E4ED" w14:textId="77777777" w:rsidR="00654118" w:rsidRPr="00CD1CF5" w:rsidRDefault="00654118" w:rsidP="00CD1CF5">
      <w:pPr>
        <w:spacing w:after="0" w:line="240" w:lineRule="auto"/>
        <w:rPr>
          <w:rFonts w:asciiTheme="majorHAnsi" w:hAnsiTheme="majorHAnsi" w:cstheme="majorHAnsi"/>
          <w:szCs w:val="24"/>
        </w:rPr>
      </w:pPr>
    </w:p>
    <w:p w14:paraId="48081B75" w14:textId="77777777" w:rsidR="004C3044" w:rsidRDefault="00000000">
      <w:r>
        <w:rPr>
          <w:b/>
        </w:rPr>
        <w:t>Post-review regression benchmarks</w:t>
      </w:r>
    </w:p>
    <w:p w14:paraId="7A123CA7" w14:textId="77777777" w:rsidR="004C3044" w:rsidRDefault="00000000">
      <w:r>
        <w:t>The Board and Q&amp;A were benchmarked on random, seed-reproducible samples of n = 100 gene–entity pairs or queries, with the exact binomial 95% confidence interval (Clopper–Pearson).</w:t>
      </w:r>
    </w:p>
    <w:p w14:paraId="28ADDB1D" w14:textId="77777777" w:rsidR="004C3044" w:rsidRDefault="00000000">
      <w:r w:rsidRPr="00906CAC">
        <w:rPr>
          <w:b/>
          <w:bCs/>
        </w:rPr>
        <w:t>Reference discipline.</w:t>
      </w:r>
      <w:r>
        <w:t xml:space="preserve"> Because a synthesis may cite both gene–RCD association evidence and entity-level definitions, the two citation levels must never be interchanged: a gene–RCD statement must cite the gene-specific association PMID, and a definition statement must cite the entity founding PMID. Across 100 associations, the synthesis separated the two levels correctly in all 100 cases (100%; 95% CI 96.4–100%).</w:t>
      </w:r>
    </w:p>
    <w:p w14:paraId="30BBB889" w14:textId="77777777" w:rsidR="004C3044" w:rsidRDefault="00000000">
      <w:r w:rsidRPr="00906CAC">
        <w:rPr>
          <w:b/>
          <w:bCs/>
        </w:rPr>
        <w:t>Context fidelity</w:t>
      </w:r>
      <w:r>
        <w:t>. The Board receives the structured payload (role, direction, mechanistic class, evidence tier, required_for_death) for the queried gene–entity pair, and the prose must not contradict those fields. Across 100 pairs, no contradiction was observed (100%; 95% CI 96.4–100%).</w:t>
      </w:r>
    </w:p>
    <w:p w14:paraId="2CA320CF" w14:textId="77777777" w:rsidR="004C3044" w:rsidRDefault="00000000">
      <w:r w:rsidRPr="00906CAC">
        <w:rPr>
          <w:b/>
          <w:bCs/>
        </w:rPr>
        <w:t>English-only policy</w:t>
      </w:r>
      <w:r>
        <w:t>. The Board and Q&amp;A answer only in English; a query in any other language must receive the exact refusal sentence. Across 100 non-English queries (Portuguese, Spanish, French), all 100 were refused correctly (100%; 95% CI 96.4–100%).</w:t>
      </w:r>
    </w:p>
    <w:p w14:paraId="092E7227" w14:textId="77777777" w:rsidR="004C3044" w:rsidRDefault="00000000">
      <w:r w:rsidRPr="00906CAC">
        <w:rPr>
          <w:b/>
          <w:bCs/>
        </w:rPr>
        <w:t>Minimal source and insufficient-data directness</w:t>
      </w:r>
      <w:r>
        <w:t>. For a gene–entity pair with no recorded PMID, the synthesis must state that no PMID is recorded and name the source database; for a pair with an INSUFFICIENT_DATA mechanistic classification, it must say so directly rather than expand empty fields. Across 100 cases of each, the correct behavior was observed in all 100 (100%; 95% CI 96.4–100%).</w:t>
      </w:r>
    </w:p>
    <w:p w14:paraId="55DE0A8C" w14:textId="77777777" w:rsidR="00CD26F8" w:rsidRDefault="00000000">
      <w:r>
        <w:t xml:space="preserve">Held-out validation. To confirm that the post-review results generalize beyond the development sample, the reference-discipline and context-fidelity benchmarks were re-run on a fresh held-out sample (seed 20260919, n = 100 each, excluding the development cases). Both held-out runs were 100% (100/100; exact binomial 95% CI </w:t>
      </w:r>
      <w:r>
        <w:lastRenderedPageBreak/>
        <w:t>96.4–100%), matching the development results and validating the "≥96% with 95% confidence" claim on unseen cases.</w:t>
      </w:r>
    </w:p>
    <w:p w14:paraId="42478888"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board achieves 100% golden accuracy, 100% census accuracy, 100% fact-stability, a 0.047% governance violation rate, and 98.7% articulation conformity, with every violation traceable and logged. </w:t>
      </w:r>
    </w:p>
    <w:p w14:paraId="4D4DA3EB" w14:textId="77777777" w:rsidR="00DB4E22" w:rsidRPr="00CD1CF5" w:rsidRDefault="00DB4E22" w:rsidP="00CD1CF5">
      <w:pPr>
        <w:pStyle w:val="Ttulo1"/>
        <w:spacing w:before="0" w:line="240" w:lineRule="auto"/>
        <w:rPr>
          <w:rFonts w:cstheme="majorHAnsi"/>
          <w:sz w:val="24"/>
          <w:szCs w:val="24"/>
        </w:rPr>
      </w:pPr>
    </w:p>
    <w:p w14:paraId="36965865" w14:textId="77777777" w:rsidR="00B33DA8" w:rsidRDefault="00000000">
      <w:pPr>
        <w:pStyle w:val="Ttulo1"/>
      </w:pPr>
      <w:r>
        <w:t>Supplementary Prompts</w:t>
      </w:r>
    </w:p>
    <w:p w14:paraId="40C9F55B" w14:textId="27AE802C" w:rsidR="00B33DA8" w:rsidRDefault="00000000">
      <w:pPr>
        <w:pStyle w:val="Ttulo2"/>
      </w:pPr>
      <w:r>
        <w:rPr>
          <w:highlight w:val="green"/>
        </w:rPr>
        <w:t>Supplementary Prompt S1</w:t>
      </w:r>
      <w:r w:rsidR="00D91281">
        <w:t>.</w:t>
      </w:r>
      <w:r>
        <w:t xml:space="preserve"> Consensus mechanistic-reconstruction framework</w:t>
      </w:r>
    </w:p>
    <w:p w14:paraId="1ED675A8" w14:textId="77777777" w:rsidR="00B33DA8" w:rsidRDefault="00000000">
      <w:r>
        <w:rPr>
          <w:b/>
        </w:rPr>
        <w:t>Regulated Cell Death Mechanism: [PATHWAY NAME]</w:t>
      </w:r>
    </w:p>
    <w:p w14:paraId="246C8074" w14:textId="77777777" w:rsidR="00B33DA8" w:rsidRDefault="00000000">
      <w:r>
        <w:t xml:space="preserve">Provide a comprehensive, mechanistically detailed, evidence-based description of **[PATHWAY </w:t>
      </w:r>
      <w:proofErr w:type="gramStart"/>
      <w:r>
        <w:t>NAME]*</w:t>
      </w:r>
      <w:proofErr w:type="gramEnd"/>
      <w:r>
        <w:t>*, reconstructing the process from the earliest initiating signal to the final irreversible death of the cell.</w:t>
      </w:r>
    </w:p>
    <w:p w14:paraId="7188B47C" w14:textId="77777777" w:rsidR="00B33DA8" w:rsidRDefault="00000000">
      <w:r>
        <w:t>The objective is to explain **how the cell dies as a continuous molecular cause-and-effect sequence**, not merely to list genes, proteins, biomarkers, morphological features, or associated pathways.</w:t>
      </w:r>
    </w:p>
    <w:p w14:paraId="2480EACA" w14:textId="77777777" w:rsidR="00B33DA8" w:rsidRDefault="00000000">
      <w:r>
        <w:t>Base the answer on peer-reviewed primary studies, authoritative reviews, and established regulated cell death consensus. Prioritize recent evidence when it updates previous models, but include landmark discoveries when necessary. Clearly distinguish established mechanisms, context-dependent findings, hypotheses, and controversies.</w:t>
      </w:r>
    </w:p>
    <w:p w14:paraId="00BC1709" w14:textId="77777777" w:rsidR="00B33DA8" w:rsidRDefault="00000000">
      <w:r>
        <w:rPr>
          <w:b/>
        </w:rPr>
        <w:t>1. Definition and classification</w:t>
      </w:r>
    </w:p>
    <w:p w14:paraId="4ACC6AF8" w14:textId="77777777" w:rsidR="00B33DA8" w:rsidRDefault="00000000">
      <w:r>
        <w:t xml:space="preserve">Define **[PATHWAY </w:t>
      </w:r>
      <w:proofErr w:type="gramStart"/>
      <w:r>
        <w:t>NAME]*</w:t>
      </w:r>
      <w:proofErr w:type="gramEnd"/>
      <w:r>
        <w:t>* and explain:</w:t>
      </w:r>
    </w:p>
    <w:p w14:paraId="1F307680" w14:textId="77777777" w:rsidR="00B33DA8" w:rsidRDefault="00000000">
      <w:r>
        <w:t xml:space="preserve">* </w:t>
      </w:r>
      <w:proofErr w:type="gramStart"/>
      <w:r>
        <w:t>what</w:t>
      </w:r>
      <w:proofErr w:type="gramEnd"/>
      <w:r>
        <w:t xml:space="preserve"> distinguishes it from other regulated cell death mechanisms;</w:t>
      </w:r>
    </w:p>
    <w:p w14:paraId="213ED99A" w14:textId="77777777" w:rsidR="00B33DA8" w:rsidRDefault="00000000">
      <w:r>
        <w:t xml:space="preserve">* </w:t>
      </w:r>
      <w:proofErr w:type="gramStart"/>
      <w:r>
        <w:t>whether</w:t>
      </w:r>
      <w:proofErr w:type="gramEnd"/>
      <w:r>
        <w:t xml:space="preserve"> it is an established modality, subtype, or emerging/proposed mechanism;</w:t>
      </w:r>
    </w:p>
    <w:p w14:paraId="032EBF44" w14:textId="77777777" w:rsidR="00B33DA8" w:rsidRDefault="00000000">
      <w:r>
        <w:t xml:space="preserve">* </w:t>
      </w:r>
      <w:proofErr w:type="gramStart"/>
      <w:r>
        <w:t>its</w:t>
      </w:r>
      <w:proofErr w:type="gramEnd"/>
      <w:r>
        <w:t xml:space="preserve"> accepted biological definition and main diagnostic criteria;</w:t>
      </w:r>
    </w:p>
    <w:p w14:paraId="336C50C5" w14:textId="77777777" w:rsidR="00B33DA8" w:rsidRDefault="00000000">
      <w:r>
        <w:t xml:space="preserve">* </w:t>
      </w:r>
      <w:proofErr w:type="gramStart"/>
      <w:r>
        <w:t>the</w:t>
      </w:r>
      <w:proofErr w:type="gramEnd"/>
      <w:r>
        <w:t xml:space="preserve"> biological contexts in which it occurs.</w:t>
      </w:r>
    </w:p>
    <w:p w14:paraId="5D6370D4" w14:textId="77777777" w:rsidR="00B33DA8" w:rsidRDefault="00000000">
      <w:r>
        <w:t>Separate mechanistically defining features from associated biomarkers or morphology.</w:t>
      </w:r>
    </w:p>
    <w:p w14:paraId="4AEC6F00" w14:textId="77777777" w:rsidR="00B33DA8" w:rsidRDefault="00000000">
      <w:r>
        <w:rPr>
          <w:b/>
        </w:rPr>
        <w:t>2. Initiating signals and sensing</w:t>
      </w:r>
    </w:p>
    <w:p w14:paraId="6B6B21BF" w14:textId="77777777" w:rsidR="00B33DA8" w:rsidRDefault="00000000">
      <w:r>
        <w:t xml:space="preserve">Describe the earliest extracellular or intracellular stimuli that can initiate **[PATHWAY </w:t>
      </w:r>
      <w:proofErr w:type="gramStart"/>
      <w:r>
        <w:t>NAME]*</w:t>
      </w:r>
      <w:proofErr w:type="gramEnd"/>
      <w:r>
        <w:t>*.</w:t>
      </w:r>
    </w:p>
    <w:p w14:paraId="07FA98EC" w14:textId="77777777" w:rsidR="00B33DA8" w:rsidRDefault="00000000">
      <w:r>
        <w:lastRenderedPageBreak/>
        <w:t>Include, when relevant, receptor ligands, cellular or oxidative stress, DNA damage, infection, immune signaling, metabolic perturbation, nutrient deprivation, organelle dysfunction, mechanical stress, ion imbalance, and toxic stimuli.</w:t>
      </w:r>
    </w:p>
    <w:p w14:paraId="33C94504" w14:textId="77777777" w:rsidR="00B33DA8" w:rsidRDefault="00000000">
      <w:r>
        <w:t>For each major trigger, explain **how the cell senses it** and how the stimulus connects molecularly to downstream death signaling.</w:t>
      </w:r>
    </w:p>
    <w:p w14:paraId="4B697588" w14:textId="77777777" w:rsidR="00B33DA8" w:rsidRDefault="00000000">
      <w:r>
        <w:t>Use:</w:t>
      </w:r>
    </w:p>
    <w:p w14:paraId="27CEBC66" w14:textId="77777777" w:rsidR="00B33DA8" w:rsidRDefault="00000000">
      <w:r>
        <w:t xml:space="preserve">**trigger → sensor/receptor → first intracellular signaling </w:t>
      </w:r>
      <w:proofErr w:type="gramStart"/>
      <w:r>
        <w:t>event.*</w:t>
      </w:r>
      <w:proofErr w:type="gramEnd"/>
      <w:r>
        <w:t>*</w:t>
      </w:r>
    </w:p>
    <w:p w14:paraId="411E4E4D" w14:textId="77777777" w:rsidR="00B33DA8" w:rsidRDefault="00000000">
      <w:r>
        <w:rPr>
          <w:b/>
        </w:rPr>
        <w:t>3. Pathway initiation and propagation</w:t>
      </w:r>
    </w:p>
    <w:p w14:paraId="42AEB11F" w14:textId="77777777" w:rsidR="00B33DA8" w:rsidRDefault="00000000">
      <w:r>
        <w:t>Trace the mechanism step by step after sensing.</w:t>
      </w:r>
    </w:p>
    <w:p w14:paraId="42CDC13C" w14:textId="77777777" w:rsidR="00B33DA8" w:rsidRDefault="00000000">
      <w:r>
        <w:t>Identify the important receptors, adaptor proteins, enzymes, kinases/phosphatases, proteases, transcription factors, metabolites, lipids, ions, organelles, and multiprotein complexes.</w:t>
      </w:r>
    </w:p>
    <w:p w14:paraId="6A7B05DE" w14:textId="77777777" w:rsidR="00B33DA8" w:rsidRDefault="00000000">
      <w:r>
        <w:t>For each major component explain:</w:t>
      </w:r>
    </w:p>
    <w:p w14:paraId="0C9D0525" w14:textId="77777777" w:rsidR="00B33DA8" w:rsidRDefault="00000000">
      <w:r>
        <w:t xml:space="preserve">* </w:t>
      </w:r>
      <w:proofErr w:type="gramStart"/>
      <w:r>
        <w:t>what</w:t>
      </w:r>
      <w:proofErr w:type="gramEnd"/>
      <w:r>
        <w:t xml:space="preserve"> activates or inhibits it;</w:t>
      </w:r>
    </w:p>
    <w:p w14:paraId="7EDB1AB4" w14:textId="77777777" w:rsidR="00B33DA8" w:rsidRDefault="00000000">
      <w:r>
        <w:t xml:space="preserve">* </w:t>
      </w:r>
      <w:proofErr w:type="gramStart"/>
      <w:r>
        <w:t>its</w:t>
      </w:r>
      <w:proofErr w:type="gramEnd"/>
      <w:r>
        <w:t xml:space="preserve"> molecular function;</w:t>
      </w:r>
    </w:p>
    <w:p w14:paraId="369C696C" w14:textId="77777777" w:rsidR="00B33DA8" w:rsidRDefault="00000000">
      <w:r>
        <w:t xml:space="preserve">* </w:t>
      </w:r>
      <w:proofErr w:type="gramStart"/>
      <w:r>
        <w:t>relevant</w:t>
      </w:r>
      <w:proofErr w:type="gramEnd"/>
      <w:r>
        <w:t xml:space="preserve"> post-translational modifications;</w:t>
      </w:r>
    </w:p>
    <w:p w14:paraId="29851BCB" w14:textId="77777777" w:rsidR="00B33DA8" w:rsidRDefault="00000000">
      <w:r>
        <w:t xml:space="preserve">* </w:t>
      </w:r>
      <w:proofErr w:type="gramStart"/>
      <w:r>
        <w:t>changes</w:t>
      </w:r>
      <w:proofErr w:type="gramEnd"/>
      <w:r>
        <w:t xml:space="preserve"> in localization, oligomerization, or complex formation;</w:t>
      </w:r>
    </w:p>
    <w:p w14:paraId="72880020" w14:textId="77777777" w:rsidR="00B33DA8" w:rsidRDefault="00000000">
      <w:r>
        <w:t xml:space="preserve">* </w:t>
      </w:r>
      <w:proofErr w:type="gramStart"/>
      <w:r>
        <w:t>substrates</w:t>
      </w:r>
      <w:proofErr w:type="gramEnd"/>
      <w:r>
        <w:t xml:space="preserve"> or interacting partners;</w:t>
      </w:r>
    </w:p>
    <w:p w14:paraId="6679D378" w14:textId="77777777" w:rsidR="00B33DA8" w:rsidRDefault="00000000">
      <w:r>
        <w:t xml:space="preserve">* </w:t>
      </w:r>
      <w:proofErr w:type="gramStart"/>
      <w:r>
        <w:t>immediate</w:t>
      </w:r>
      <w:proofErr w:type="gramEnd"/>
      <w:r>
        <w:t xml:space="preserve"> downstream consequence.</w:t>
      </w:r>
    </w:p>
    <w:p w14:paraId="6AB28892" w14:textId="77777777" w:rsidR="00B33DA8" w:rsidRDefault="00000000">
      <w:r>
        <w:t>Do not state that a protein simply "regulates" the pathway. Explain **what it physically or biochemically does**.</w:t>
      </w:r>
    </w:p>
    <w:p w14:paraId="5E2E2B0B" w14:textId="77777777" w:rsidR="00B33DA8" w:rsidRDefault="00000000">
      <w:r>
        <w:rPr>
          <w:b/>
        </w:rPr>
        <w:t>4. Molecular complexes and biochemical reactions</w:t>
      </w:r>
    </w:p>
    <w:p w14:paraId="2C363551" w14:textId="77777777" w:rsidR="00B33DA8" w:rsidRDefault="00000000">
      <w:r>
        <w:t>Describe the central molecular complexes or biochemical reactions required for the pathway.</w:t>
      </w:r>
    </w:p>
    <w:p w14:paraId="36A8229E" w14:textId="77777777" w:rsidR="00B33DA8" w:rsidRDefault="00000000">
      <w:r>
        <w:t>For each one explain:</w:t>
      </w:r>
    </w:p>
    <w:p w14:paraId="6B44D818" w14:textId="77777777" w:rsidR="00B33DA8" w:rsidRDefault="00000000">
      <w:r>
        <w:t xml:space="preserve">* </w:t>
      </w:r>
      <w:proofErr w:type="gramStart"/>
      <w:r>
        <w:t>composition</w:t>
      </w:r>
      <w:proofErr w:type="gramEnd"/>
      <w:r>
        <w:t>;</w:t>
      </w:r>
    </w:p>
    <w:p w14:paraId="4B23029C" w14:textId="77777777" w:rsidR="00B33DA8" w:rsidRDefault="00000000">
      <w:r>
        <w:t xml:space="preserve">* </w:t>
      </w:r>
      <w:proofErr w:type="gramStart"/>
      <w:r>
        <w:t>cellular</w:t>
      </w:r>
      <w:proofErr w:type="gramEnd"/>
      <w:r>
        <w:t xml:space="preserve"> location;</w:t>
      </w:r>
    </w:p>
    <w:p w14:paraId="1927F81C" w14:textId="77777777" w:rsidR="00B33DA8" w:rsidRDefault="00000000">
      <w:r>
        <w:t xml:space="preserve">* </w:t>
      </w:r>
      <w:proofErr w:type="gramStart"/>
      <w:r>
        <w:t>trigger</w:t>
      </w:r>
      <w:proofErr w:type="gramEnd"/>
      <w:r>
        <w:t xml:space="preserve"> for assembly or activation;</w:t>
      </w:r>
    </w:p>
    <w:p w14:paraId="2D66110E" w14:textId="77777777" w:rsidR="00B33DA8" w:rsidRDefault="00000000">
      <w:r>
        <w:t xml:space="preserve">* </w:t>
      </w:r>
      <w:proofErr w:type="gramStart"/>
      <w:r>
        <w:t>biochemical</w:t>
      </w:r>
      <w:proofErr w:type="gramEnd"/>
      <w:r>
        <w:t xml:space="preserve"> activity;</w:t>
      </w:r>
    </w:p>
    <w:p w14:paraId="3FA9197B" w14:textId="77777777" w:rsidR="00B33DA8" w:rsidRDefault="00000000">
      <w:r>
        <w:lastRenderedPageBreak/>
        <w:t xml:space="preserve">* </w:t>
      </w:r>
      <w:proofErr w:type="gramStart"/>
      <w:r>
        <w:t>substrates</w:t>
      </w:r>
      <w:proofErr w:type="gramEnd"/>
      <w:r>
        <w:t xml:space="preserve"> or targets;</w:t>
      </w:r>
    </w:p>
    <w:p w14:paraId="554363E4" w14:textId="77777777" w:rsidR="00B33DA8" w:rsidRDefault="00000000">
      <w:r>
        <w:t xml:space="preserve">* </w:t>
      </w:r>
      <w:proofErr w:type="gramStart"/>
      <w:r>
        <w:t>how</w:t>
      </w:r>
      <w:proofErr w:type="gramEnd"/>
      <w:r>
        <w:t xml:space="preserve"> the reaction advances the cell toward death.</w:t>
      </w:r>
    </w:p>
    <w:p w14:paraId="155C045D" w14:textId="77777777" w:rsidR="00B33DA8" w:rsidRDefault="00000000">
      <w:r>
        <w:t>If multiple complexes form sequentially, describe their chronological and causal relationship.</w:t>
      </w:r>
    </w:p>
    <w:p w14:paraId="062011CC" w14:textId="77777777" w:rsidR="00B33DA8" w:rsidRDefault="00000000">
      <w:r>
        <w:rPr>
          <w:b/>
        </w:rPr>
        <w:t>5. Regulatory checkpoints and protective systems</w:t>
      </w:r>
    </w:p>
    <w:p w14:paraId="17576075" w14:textId="77777777" w:rsidR="00B33DA8" w:rsidRDefault="00000000">
      <w:r>
        <w:t xml:space="preserve">Identify mechanisms that normally prevent inappropriate activation of **[PATHWAY </w:t>
      </w:r>
      <w:proofErr w:type="gramStart"/>
      <w:r>
        <w:t>NAME]*</w:t>
      </w:r>
      <w:proofErr w:type="gramEnd"/>
      <w:r>
        <w:t>*, including relevant endogenous inhibitors, anti-death proteins, antioxidant systems, metabolic defenses, repair systems, degradation pathways, and feedback loops.</w:t>
      </w:r>
    </w:p>
    <w:p w14:paraId="0E1C1577" w14:textId="77777777" w:rsidR="00B33DA8" w:rsidRDefault="00000000">
      <w:r>
        <w:t>For each, explain:</w:t>
      </w:r>
    </w:p>
    <w:p w14:paraId="6670291B" w14:textId="77777777" w:rsidR="00B33DA8" w:rsidRDefault="00000000">
      <w:r>
        <w:t xml:space="preserve">**protective factor → molecular target → inhibitory mechanism → consequence of </w:t>
      </w:r>
      <w:proofErr w:type="gramStart"/>
      <w:r>
        <w:t>failure.*</w:t>
      </w:r>
      <w:proofErr w:type="gramEnd"/>
      <w:r>
        <w:t>*</w:t>
      </w:r>
    </w:p>
    <w:p w14:paraId="77E5D775" w14:textId="77777777" w:rsidR="00B33DA8" w:rsidRDefault="00000000">
      <w:r>
        <w:t>State whether loss of the protective mechanism directly triggers death or only sensitizes the cell.</w:t>
      </w:r>
    </w:p>
    <w:p w14:paraId="47879DDD" w14:textId="77777777" w:rsidR="00B33DA8" w:rsidRDefault="00000000">
      <w:r>
        <w:rPr>
          <w:b/>
        </w:rPr>
        <w:t>6. Commitment and reversibility</w:t>
      </w:r>
    </w:p>
    <w:p w14:paraId="38BFF297" w14:textId="77777777" w:rsidR="00B33DA8" w:rsidRDefault="00000000">
      <w:r>
        <w:t>Identify the known or proposed **point of no return**.</w:t>
      </w:r>
    </w:p>
    <w:p w14:paraId="36CA5363" w14:textId="77777777" w:rsidR="00B33DA8" w:rsidRDefault="00000000">
      <w:r>
        <w:t>Explain:</w:t>
      </w:r>
    </w:p>
    <w:p w14:paraId="0AEDD037" w14:textId="77777777" w:rsidR="00B33DA8" w:rsidRDefault="00000000">
      <w:r>
        <w:t xml:space="preserve">* </w:t>
      </w:r>
      <w:proofErr w:type="gramStart"/>
      <w:r>
        <w:t>which</w:t>
      </w:r>
      <w:proofErr w:type="gramEnd"/>
      <w:r>
        <w:t xml:space="preserve"> stages represent reversible stress or pathway activation;</w:t>
      </w:r>
    </w:p>
    <w:p w14:paraId="605979E3" w14:textId="77777777" w:rsidR="00B33DA8" w:rsidRDefault="00000000">
      <w:r>
        <w:t xml:space="preserve">* </w:t>
      </w:r>
      <w:proofErr w:type="gramStart"/>
      <w:r>
        <w:t>which</w:t>
      </w:r>
      <w:proofErr w:type="gramEnd"/>
      <w:r>
        <w:t xml:space="preserve"> events represent commitment to death;</w:t>
      </w:r>
    </w:p>
    <w:p w14:paraId="63A5E43C" w14:textId="77777777" w:rsidR="00B33DA8" w:rsidRDefault="00000000">
      <w:r>
        <w:t xml:space="preserve">* </w:t>
      </w:r>
      <w:proofErr w:type="gramStart"/>
      <w:r>
        <w:t>evidence</w:t>
      </w:r>
      <w:proofErr w:type="gramEnd"/>
      <w:r>
        <w:t xml:space="preserve"> that cells can or cannot recover after these events;</w:t>
      </w:r>
    </w:p>
    <w:p w14:paraId="6E31CBC7" w14:textId="77777777" w:rsidR="00B33DA8" w:rsidRDefault="00000000">
      <w:r>
        <w:t xml:space="preserve">* </w:t>
      </w:r>
      <w:proofErr w:type="gramStart"/>
      <w:r>
        <w:t>genetic</w:t>
      </w:r>
      <w:proofErr w:type="gramEnd"/>
      <w:r>
        <w:t xml:space="preserve"> or pharmacological interventions that rescue cells before or after commitment.</w:t>
      </w:r>
    </w:p>
    <w:p w14:paraId="07638669" w14:textId="77777777" w:rsidR="00B33DA8" w:rsidRDefault="00000000">
      <w:r>
        <w:t>If no single commitment point is known, state this explicitly.</w:t>
      </w:r>
    </w:p>
    <w:p w14:paraId="10281A07" w14:textId="77777777" w:rsidR="00B33DA8" w:rsidRDefault="00000000">
      <w:r>
        <w:rPr>
          <w:b/>
        </w:rPr>
        <w:t>7. Execution phase</w:t>
      </w:r>
    </w:p>
    <w:p w14:paraId="6D7B34A4" w14:textId="77777777" w:rsidR="00B33DA8" w:rsidRDefault="00000000">
      <w:r>
        <w:t>Describe the execution phase in greatest mechanistic detail.</w:t>
      </w:r>
    </w:p>
    <w:p w14:paraId="2A9F56F7" w14:textId="77777777" w:rsidR="00B33DA8" w:rsidRDefault="00000000">
      <w:r>
        <w:t>Answer:</w:t>
      </w:r>
    </w:p>
    <w:p w14:paraId="3DD7FE0C" w14:textId="77777777" w:rsidR="00B33DA8" w:rsidRDefault="00000000">
      <w:r>
        <w:t>**What molecular process physically causes the cell to lose viability in [PATHWAY NAME</w:t>
      </w:r>
      <w:proofErr w:type="gramStart"/>
      <w:r>
        <w:t>]?*</w:t>
      </w:r>
      <w:proofErr w:type="gramEnd"/>
      <w:r>
        <w:t>*</w:t>
      </w:r>
    </w:p>
    <w:p w14:paraId="2239F4AB" w14:textId="77777777" w:rsidR="00B33DA8" w:rsidRDefault="00000000">
      <w:r>
        <w:lastRenderedPageBreak/>
        <w:t>Explain sequentially all relevant events, such as plasma membrane permeabilization or rupture, pore formation, proteolysis, mitochondrial dysfunction, ATP depletion, metabolic collapse, lipid peroxidation, ROS accumulation, ion dysregulation, osmotic imbalance, lysosomal or ER damage, DNA/chromatin alterations, cytoskeletal collapse, and organelle failure.</w:t>
      </w:r>
    </w:p>
    <w:p w14:paraId="246C0396" w14:textId="77777777" w:rsidR="00B33DA8" w:rsidRDefault="00000000">
      <w:r>
        <w:t>Include only processes supported for this mechanism and explain how one event causes the next.</w:t>
      </w:r>
    </w:p>
    <w:p w14:paraId="5ED2658F" w14:textId="77777777" w:rsidR="00B33DA8" w:rsidRDefault="00000000">
      <w:r>
        <w:rPr>
          <w:b/>
        </w:rPr>
        <w:t>8. Terminal cause of death</w:t>
      </w:r>
    </w:p>
    <w:p w14:paraId="488F1782" w14:textId="77777777" w:rsidR="00B33DA8" w:rsidRDefault="00000000">
      <w:r>
        <w:t>Explicitly identify the **proximate cause of cellular death**.</w:t>
      </w:r>
    </w:p>
    <w:p w14:paraId="3485BA08" w14:textId="77777777" w:rsidR="00B33DA8" w:rsidRDefault="00000000">
      <w:r>
        <w:t>Explain what ultimately makes recovery impossible.</w:t>
      </w:r>
    </w:p>
    <w:p w14:paraId="093E9CA7" w14:textId="77777777" w:rsidR="00B33DA8" w:rsidRDefault="00000000">
      <w:r>
        <w:t>Distinguish:</w:t>
      </w:r>
    </w:p>
    <w:p w14:paraId="420C5AAE" w14:textId="77777777" w:rsidR="00B33DA8" w:rsidRDefault="00000000">
      <w:r>
        <w:t xml:space="preserve">* </w:t>
      </w:r>
      <w:proofErr w:type="gramStart"/>
      <w:r>
        <w:t>molecular</w:t>
      </w:r>
      <w:proofErr w:type="gramEnd"/>
      <w:r>
        <w:t xml:space="preserve"> execution mechanism;</w:t>
      </w:r>
    </w:p>
    <w:p w14:paraId="6EFF9EE6" w14:textId="77777777" w:rsidR="00B33DA8" w:rsidRDefault="00000000">
      <w:r>
        <w:t xml:space="preserve">* </w:t>
      </w:r>
      <w:proofErr w:type="gramStart"/>
      <w:r>
        <w:t>irreversible</w:t>
      </w:r>
      <w:proofErr w:type="gramEnd"/>
      <w:r>
        <w:t xml:space="preserve"> loss of homeostasis;</w:t>
      </w:r>
    </w:p>
    <w:p w14:paraId="5F7FC7A7" w14:textId="77777777" w:rsidR="00B33DA8" w:rsidRDefault="00000000">
      <w:r>
        <w:t xml:space="preserve">* </w:t>
      </w:r>
      <w:proofErr w:type="gramStart"/>
      <w:r>
        <w:t>morphological</w:t>
      </w:r>
      <w:proofErr w:type="gramEnd"/>
      <w:r>
        <w:t xml:space="preserve"> consequences;</w:t>
      </w:r>
    </w:p>
    <w:p w14:paraId="441B334D" w14:textId="77777777" w:rsidR="00B33DA8" w:rsidRDefault="00000000">
      <w:r>
        <w:t xml:space="preserve">* </w:t>
      </w:r>
      <w:proofErr w:type="gramStart"/>
      <w:r>
        <w:t>biomarkers</w:t>
      </w:r>
      <w:proofErr w:type="gramEnd"/>
      <w:r>
        <w:t>;</w:t>
      </w:r>
    </w:p>
    <w:p w14:paraId="628BDE72" w14:textId="77777777" w:rsidR="00B33DA8" w:rsidRDefault="00000000">
      <w:r>
        <w:t xml:space="preserve">* </w:t>
      </w:r>
      <w:proofErr w:type="gramStart"/>
      <w:r>
        <w:t>events</w:t>
      </w:r>
      <w:proofErr w:type="gramEnd"/>
      <w:r>
        <w:t xml:space="preserve"> occurring after commitment or death.</w:t>
      </w:r>
    </w:p>
    <w:p w14:paraId="2AE1B493" w14:textId="77777777" w:rsidR="00B33DA8" w:rsidRDefault="00000000">
      <w:r>
        <w:t>Clarify whether the terminal event is membrane rupture, catastrophic lipid damage, proteolytic dismantling, energetic failure, osmotic collapse, organelle failure, or another mechanism.</w:t>
      </w:r>
    </w:p>
    <w:p w14:paraId="2FD93A3A" w14:textId="77777777" w:rsidR="00B33DA8" w:rsidRDefault="00000000">
      <w:r>
        <w:rPr>
          <w:b/>
        </w:rPr>
        <w:t>9. Morphological progression</w:t>
      </w:r>
    </w:p>
    <w:p w14:paraId="3B9BA035" w14:textId="77777777" w:rsidR="00B33DA8" w:rsidRDefault="00000000">
      <w:r>
        <w:t>Describe morphology chronologically and connect each feature to its molecular cause:</w:t>
      </w:r>
    </w:p>
    <w:p w14:paraId="5C5DE2A0" w14:textId="77777777" w:rsidR="00B33DA8" w:rsidRDefault="00000000">
      <w:r>
        <w:t xml:space="preserve">**healthy cell → early response → commitment → execution → terminal </w:t>
      </w:r>
      <w:proofErr w:type="gramStart"/>
      <w:r>
        <w:t>morphology.*</w:t>
      </w:r>
      <w:proofErr w:type="gramEnd"/>
      <w:r>
        <w:t>*</w:t>
      </w:r>
    </w:p>
    <w:p w14:paraId="18CBF802" w14:textId="77777777" w:rsidR="00B33DA8" w:rsidRDefault="00000000">
      <w:r>
        <w:t>Include relevant features such as swelling or shrinkage, membrane blebbing, chromatin condensation, nuclear fragmentation, vacuolization, mitochondrial or other organelle changes, apoptotic bodies, and membrane rupture.</w:t>
      </w:r>
    </w:p>
    <w:p w14:paraId="63F61D12" w14:textId="77777777" w:rsidR="00B33DA8" w:rsidRDefault="00000000">
      <w:r>
        <w:t>State which features are characteristic and which are shared with other death mechanisms.</w:t>
      </w:r>
    </w:p>
    <w:p w14:paraId="73C62C27" w14:textId="77777777" w:rsidR="00B33DA8" w:rsidRDefault="00000000">
      <w:r>
        <w:rPr>
          <w:b/>
        </w:rPr>
        <w:t>10. Canonical and alternative routes</w:t>
      </w:r>
    </w:p>
    <w:p w14:paraId="1498D499" w14:textId="77777777" w:rsidR="00B33DA8" w:rsidRDefault="00000000">
      <w:r>
        <w:lastRenderedPageBreak/>
        <w:t xml:space="preserve">If more than one molecular route leads to **[PATHWAY </w:t>
      </w:r>
      <w:proofErr w:type="gramStart"/>
      <w:r>
        <w:t>NAME]*</w:t>
      </w:r>
      <w:proofErr w:type="gramEnd"/>
      <w:r>
        <w:t>*, describe each separately using:</w:t>
      </w:r>
    </w:p>
    <w:p w14:paraId="4620B1F2" w14:textId="77777777" w:rsidR="00B33DA8" w:rsidRDefault="00000000">
      <w:r>
        <w:t xml:space="preserve">**trigger → sensor → signaling intermediates → molecular complex/reaction → executioner → terminal </w:t>
      </w:r>
      <w:proofErr w:type="gramStart"/>
      <w:r>
        <w:t>event.*</w:t>
      </w:r>
      <w:proofErr w:type="gramEnd"/>
      <w:r>
        <w:t>*</w:t>
      </w:r>
    </w:p>
    <w:p w14:paraId="6F576BE0" w14:textId="77777777" w:rsidR="00B33DA8" w:rsidRDefault="00000000">
      <w:r>
        <w:t>Explain where routes diverge and converge and whether they are cell-type-, stimulus-, or context-dependent.</w:t>
      </w:r>
    </w:p>
    <w:p w14:paraId="07D25DD9" w14:textId="77777777" w:rsidR="00B33DA8" w:rsidRDefault="00000000">
      <w:r>
        <w:t>Use "canonical" or "non-canonical" only when supported by the literature.</w:t>
      </w:r>
    </w:p>
    <w:p w14:paraId="2C670FD8" w14:textId="77777777" w:rsidR="00B33DA8" w:rsidRDefault="00000000">
      <w:r>
        <w:rPr>
          <w:b/>
        </w:rPr>
        <w:t>11. Crosstalk with other regulated cell death mechanisms</w:t>
      </w:r>
    </w:p>
    <w:p w14:paraId="08D7AC49" w14:textId="77777777" w:rsidR="00B33DA8" w:rsidRDefault="00000000">
      <w:r>
        <w:t>Describe experimentally demonstrated crosstalk with other death modalities.</w:t>
      </w:r>
    </w:p>
    <w:p w14:paraId="54F925B0" w14:textId="77777777" w:rsidR="00B33DA8" w:rsidRDefault="00000000">
      <w:r>
        <w:t>Focus on shared signaling proteins, enzymes, metabolites, organelles, stress responses, or execution machinery.</w:t>
      </w:r>
    </w:p>
    <w:p w14:paraId="7527C17A" w14:textId="77777777" w:rsidR="00B33DA8" w:rsidRDefault="00000000">
      <w:r>
        <w:t>For each connection, specify whether it represents pathway switching, shared upstream signaling, shared execution machinery, reciprocal inhibition, or simultaneous activation.</w:t>
      </w:r>
    </w:p>
    <w:p w14:paraId="11365EC8" w14:textId="77777777" w:rsidR="00B33DA8" w:rsidRDefault="00000000">
      <w:r>
        <w:t>Do not treat correlation or co-occurrence as mechanistic crosstalk.</w:t>
      </w:r>
    </w:p>
    <w:p w14:paraId="6DDEE310" w14:textId="77777777" w:rsidR="00B33DA8" w:rsidRDefault="00000000">
      <w:r>
        <w:rPr>
          <w:b/>
        </w:rPr>
        <w:t>12. Experimental evidence</w:t>
      </w:r>
    </w:p>
    <w:p w14:paraId="1AB9D6CC" w14:textId="77777777" w:rsidR="00B33DA8" w:rsidRDefault="00000000">
      <w:r>
        <w:t xml:space="preserve">Explain how researchers demonstrate that death occurs specifically through **[PATHWAY </w:t>
      </w:r>
      <w:proofErr w:type="gramStart"/>
      <w:r>
        <w:t>NAME]*</w:t>
      </w:r>
      <w:proofErr w:type="gramEnd"/>
      <w:r>
        <w:t>*.</w:t>
      </w:r>
    </w:p>
    <w:p w14:paraId="66721EDB" w14:textId="77777777" w:rsidR="00B33DA8" w:rsidRDefault="00000000">
      <w:r>
        <w:t>Discuss the strongest relevant approaches, including:</w:t>
      </w:r>
    </w:p>
    <w:p w14:paraId="4316B417" w14:textId="77777777" w:rsidR="00B33DA8" w:rsidRDefault="00000000">
      <w:r>
        <w:t xml:space="preserve">* </w:t>
      </w:r>
      <w:proofErr w:type="gramStart"/>
      <w:r>
        <w:t>genetic</w:t>
      </w:r>
      <w:proofErr w:type="gramEnd"/>
      <w:r>
        <w:t xml:space="preserve"> knockout/knockdown;</w:t>
      </w:r>
    </w:p>
    <w:p w14:paraId="5907ABD9" w14:textId="77777777" w:rsidR="00B33DA8" w:rsidRDefault="00000000">
      <w:r>
        <w:t xml:space="preserve">* </w:t>
      </w:r>
      <w:proofErr w:type="gramStart"/>
      <w:r>
        <w:t>gain</w:t>
      </w:r>
      <w:proofErr w:type="gramEnd"/>
      <w:r>
        <w:t>-of-function;</w:t>
      </w:r>
    </w:p>
    <w:p w14:paraId="16588757" w14:textId="77777777" w:rsidR="00B33DA8" w:rsidRDefault="00000000">
      <w:r>
        <w:t xml:space="preserve">* </w:t>
      </w:r>
      <w:proofErr w:type="gramStart"/>
      <w:r>
        <w:t>pathway</w:t>
      </w:r>
      <w:proofErr w:type="gramEnd"/>
      <w:r>
        <w:t>-specific inhibitors;</w:t>
      </w:r>
    </w:p>
    <w:p w14:paraId="5D4CD079" w14:textId="77777777" w:rsidR="00B33DA8" w:rsidRDefault="00000000">
      <w:r>
        <w:t xml:space="preserve">* </w:t>
      </w:r>
      <w:proofErr w:type="gramStart"/>
      <w:r>
        <w:t>rescue</w:t>
      </w:r>
      <w:proofErr w:type="gramEnd"/>
      <w:r>
        <w:t xml:space="preserve"> experiments;</w:t>
      </w:r>
    </w:p>
    <w:p w14:paraId="66E690D0" w14:textId="77777777" w:rsidR="00B33DA8" w:rsidRDefault="00000000">
      <w:r>
        <w:t xml:space="preserve">* </w:t>
      </w:r>
      <w:proofErr w:type="gramStart"/>
      <w:r>
        <w:t>biochemical</w:t>
      </w:r>
      <w:proofErr w:type="gramEnd"/>
      <w:r>
        <w:t xml:space="preserve"> assays;</w:t>
      </w:r>
    </w:p>
    <w:p w14:paraId="364E7A1E" w14:textId="77777777" w:rsidR="00B33DA8" w:rsidRDefault="00000000">
      <w:r>
        <w:t xml:space="preserve">* </w:t>
      </w:r>
      <w:proofErr w:type="gramStart"/>
      <w:r>
        <w:t>microscopy</w:t>
      </w:r>
      <w:proofErr w:type="gramEnd"/>
      <w:r>
        <w:t>;</w:t>
      </w:r>
    </w:p>
    <w:p w14:paraId="7BAFA2B8" w14:textId="77777777" w:rsidR="00B33DA8" w:rsidRDefault="00000000">
      <w:r>
        <w:t xml:space="preserve">* </w:t>
      </w:r>
      <w:proofErr w:type="gramStart"/>
      <w:r>
        <w:t>membrane</w:t>
      </w:r>
      <w:proofErr w:type="gramEnd"/>
      <w:r>
        <w:t xml:space="preserve"> integrity assays;</w:t>
      </w:r>
    </w:p>
    <w:p w14:paraId="1C02542C" w14:textId="77777777" w:rsidR="00B33DA8" w:rsidRDefault="00000000">
      <w:r>
        <w:t xml:space="preserve">* </w:t>
      </w:r>
      <w:proofErr w:type="gramStart"/>
      <w:r>
        <w:t>organelle</w:t>
      </w:r>
      <w:proofErr w:type="gramEnd"/>
      <w:r>
        <w:t>-specific assays;</w:t>
      </w:r>
    </w:p>
    <w:p w14:paraId="2063E20B" w14:textId="77777777" w:rsidR="00B33DA8" w:rsidRDefault="00000000">
      <w:r>
        <w:t xml:space="preserve">* </w:t>
      </w:r>
      <w:proofErr w:type="gramStart"/>
      <w:r>
        <w:t>metabolomics</w:t>
      </w:r>
      <w:proofErr w:type="gramEnd"/>
      <w:r>
        <w:t xml:space="preserve">, </w:t>
      </w:r>
      <w:proofErr w:type="spellStart"/>
      <w:r>
        <w:t>lipidomics</w:t>
      </w:r>
      <w:proofErr w:type="spellEnd"/>
      <w:r>
        <w:t>, or proteomics when relevant.</w:t>
      </w:r>
    </w:p>
    <w:p w14:paraId="32E39378" w14:textId="77777777" w:rsidR="00B33DA8" w:rsidRDefault="00000000">
      <w:r>
        <w:lastRenderedPageBreak/>
        <w:t>Explain which experiments distinguish this pathway from alternative death mechanisms.</w:t>
      </w:r>
    </w:p>
    <w:p w14:paraId="5F9D2368" w14:textId="77777777" w:rsidR="00B33DA8" w:rsidRDefault="00000000">
      <w:r>
        <w:t>Separate causal evidence from biomarkers and morphology.</w:t>
      </w:r>
    </w:p>
    <w:p w14:paraId="2A642B31" w14:textId="77777777" w:rsidR="00B33DA8" w:rsidRDefault="00000000">
      <w:r>
        <w:rPr>
          <w:b/>
        </w:rPr>
        <w:t>13. Molecular hierarchy</w:t>
      </w:r>
    </w:p>
    <w:p w14:paraId="5FD9CB8B" w14:textId="77777777" w:rsidR="00B33DA8" w:rsidRDefault="00000000">
      <w:r>
        <w:t>Classify the principal molecules as:</w:t>
      </w:r>
    </w:p>
    <w:p w14:paraId="41627E0B" w14:textId="77777777" w:rsidR="00B33DA8" w:rsidRDefault="00000000">
      <w:r>
        <w:t>1. **Initiators/sensors** – detect the stimulus.</w:t>
      </w:r>
    </w:p>
    <w:p w14:paraId="7A8A5112" w14:textId="77777777" w:rsidR="00B33DA8" w:rsidRDefault="00000000">
      <w:r>
        <w:t>2. **Signal transducers** – propagate signaling.</w:t>
      </w:r>
    </w:p>
    <w:p w14:paraId="27552104" w14:textId="77777777" w:rsidR="00B33DA8" w:rsidRDefault="00000000">
      <w:r>
        <w:t>3. **Core machinery** – required molecular components.</w:t>
      </w:r>
    </w:p>
    <w:p w14:paraId="07E06B80" w14:textId="77777777" w:rsidR="00B33DA8" w:rsidRDefault="00000000">
      <w:r>
        <w:t>4. **Executioners** – directly produce lethal damage.</w:t>
      </w:r>
    </w:p>
    <w:p w14:paraId="4788C732" w14:textId="77777777" w:rsidR="00B33DA8" w:rsidRDefault="00000000">
      <w:r>
        <w:t>5. **Negative regulators/protective factors** – suppress the pathway.</w:t>
      </w:r>
    </w:p>
    <w:p w14:paraId="654E9DC2" w14:textId="77777777" w:rsidR="00B33DA8" w:rsidRDefault="00000000">
      <w:r>
        <w:t>6. **Biomarkers** – indicate activation but may not be causal.</w:t>
      </w:r>
    </w:p>
    <w:p w14:paraId="1406F817" w14:textId="77777777" w:rsidR="00B33DA8" w:rsidRDefault="00000000">
      <w:r>
        <w:t>7. **Context-dependent regulators** – important only in specific systems.</w:t>
      </w:r>
    </w:p>
    <w:p w14:paraId="6A68514F" w14:textId="77777777" w:rsidR="00B33DA8" w:rsidRDefault="00000000">
      <w:r>
        <w:t>For every core molecule, state its precise mechanistic role.</w:t>
      </w:r>
    </w:p>
    <w:p w14:paraId="3F04446D" w14:textId="77777777" w:rsidR="00B33DA8" w:rsidRDefault="00000000">
      <w:r>
        <w:rPr>
          <w:b/>
        </w:rPr>
        <w:t>14. Final integrated mechanistic sequence</w:t>
      </w:r>
    </w:p>
    <w:p w14:paraId="21C1E5B0" w14:textId="77777777" w:rsidR="00B33DA8" w:rsidRDefault="00000000">
      <w:r>
        <w:t>Conclude with one continuous chronological causal chain:</w:t>
      </w:r>
    </w:p>
    <w:p w14:paraId="26954D7B" w14:textId="77777777" w:rsidR="00B33DA8" w:rsidRDefault="00000000">
      <w:r>
        <w:t>**Initiating stimulus</w:t>
      </w:r>
    </w:p>
    <w:p w14:paraId="48CA3888" w14:textId="77777777" w:rsidR="00B33DA8" w:rsidRDefault="00000000">
      <w:r>
        <w:t>→ cellular sensor/receptor</w:t>
      </w:r>
    </w:p>
    <w:p w14:paraId="10E792E0" w14:textId="77777777" w:rsidR="00B33DA8" w:rsidRDefault="00000000">
      <w:r>
        <w:t>→ proximal signaling</w:t>
      </w:r>
    </w:p>
    <w:p w14:paraId="1EFA4A35" w14:textId="77777777" w:rsidR="00B33DA8" w:rsidRDefault="00000000">
      <w:r>
        <w:t>→ molecular complex or biochemical reaction</w:t>
      </w:r>
    </w:p>
    <w:p w14:paraId="02FD9AE4" w14:textId="77777777" w:rsidR="00B33DA8" w:rsidRDefault="00000000">
      <w:r>
        <w:t>→ amplification/regulatory events</w:t>
      </w:r>
    </w:p>
    <w:p w14:paraId="562BC2D1" w14:textId="77777777" w:rsidR="00B33DA8" w:rsidRDefault="00000000">
      <w:r>
        <w:t>→ commitment to death</w:t>
      </w:r>
    </w:p>
    <w:p w14:paraId="67DDA949" w14:textId="77777777" w:rsidR="00B33DA8" w:rsidRDefault="00000000">
      <w:r>
        <w:t>→ executioner mechanism</w:t>
      </w:r>
    </w:p>
    <w:p w14:paraId="3DB452CD" w14:textId="77777777" w:rsidR="00B33DA8" w:rsidRDefault="00000000">
      <w:r>
        <w:t>→ structural/metabolic failure</w:t>
      </w:r>
    </w:p>
    <w:p w14:paraId="49D950EC" w14:textId="77777777" w:rsidR="00B33DA8" w:rsidRDefault="00000000">
      <w:r>
        <w:t>→ irreversible loss of cellular homeostasis</w:t>
      </w:r>
    </w:p>
    <w:p w14:paraId="31024E65" w14:textId="77777777" w:rsidR="00B33DA8" w:rsidRDefault="00000000">
      <w:r>
        <w:t xml:space="preserve">→ cell </w:t>
      </w:r>
      <w:proofErr w:type="gramStart"/>
      <w:r>
        <w:t>death.*</w:t>
      </w:r>
      <w:proofErr w:type="gramEnd"/>
      <w:r>
        <w:t>*</w:t>
      </w:r>
    </w:p>
    <w:p w14:paraId="4086384E" w14:textId="77777777" w:rsidR="00B33DA8" w:rsidRDefault="00000000">
      <w:r>
        <w:t>This final sequence must be detailed enough to be converted directly into a **scientific pathway diagram, mechanistic figure, or biological animation**.</w:t>
      </w:r>
    </w:p>
    <w:p w14:paraId="782AEA57" w14:textId="77777777" w:rsidR="00B33DA8" w:rsidRDefault="00000000">
      <w:r>
        <w:rPr>
          <w:b/>
        </w:rPr>
        <w:lastRenderedPageBreak/>
        <w:t>Evidence standards</w:t>
      </w:r>
    </w:p>
    <w:p w14:paraId="216CFBED" w14:textId="77777777" w:rsidR="00B33DA8" w:rsidRDefault="00000000">
      <w:r>
        <w:t>Throughout the answer:</w:t>
      </w:r>
    </w:p>
    <w:p w14:paraId="6D09715C" w14:textId="77777777" w:rsidR="00B33DA8" w:rsidRDefault="00000000">
      <w:r>
        <w:t xml:space="preserve">* </w:t>
      </w:r>
      <w:proofErr w:type="gramStart"/>
      <w:r>
        <w:t>cite</w:t>
      </w:r>
      <w:proofErr w:type="gramEnd"/>
      <w:r>
        <w:t xml:space="preserve"> major mechanistic claims;</w:t>
      </w:r>
    </w:p>
    <w:p w14:paraId="1E4ED474" w14:textId="77777777" w:rsidR="00B33DA8" w:rsidRDefault="00000000">
      <w:r>
        <w:t xml:space="preserve">* </w:t>
      </w:r>
      <w:proofErr w:type="gramStart"/>
      <w:r>
        <w:t>prioritize</w:t>
      </w:r>
      <w:proofErr w:type="gramEnd"/>
      <w:r>
        <w:t xml:space="preserve"> primary experimental evidence;</w:t>
      </w:r>
    </w:p>
    <w:p w14:paraId="51392DB2" w14:textId="77777777" w:rsidR="00B33DA8" w:rsidRDefault="00000000">
      <w:r>
        <w:t xml:space="preserve">* </w:t>
      </w:r>
      <w:proofErr w:type="gramStart"/>
      <w:r>
        <w:t>distinguish</w:t>
      </w:r>
      <w:proofErr w:type="gramEnd"/>
      <w:r>
        <w:t xml:space="preserve"> established facts from proposed mechanisms;</w:t>
      </w:r>
    </w:p>
    <w:p w14:paraId="199AF16A" w14:textId="77777777" w:rsidR="00B33DA8" w:rsidRDefault="00000000">
      <w:r>
        <w:t xml:space="preserve">* </w:t>
      </w:r>
      <w:proofErr w:type="gramStart"/>
      <w:r>
        <w:t>identify</w:t>
      </w:r>
      <w:proofErr w:type="gramEnd"/>
      <w:r>
        <w:t xml:space="preserve"> unresolved or controversial steps;</w:t>
      </w:r>
    </w:p>
    <w:p w14:paraId="682C2AA0" w14:textId="77777777" w:rsidR="00B33DA8" w:rsidRDefault="00000000">
      <w:r>
        <w:t xml:space="preserve">* </w:t>
      </w:r>
      <w:proofErr w:type="gramStart"/>
      <w:r>
        <w:t>do</w:t>
      </w:r>
      <w:proofErr w:type="gramEnd"/>
      <w:r>
        <w:t xml:space="preserve"> not infer causality from gene-expression correlations alone;</w:t>
      </w:r>
    </w:p>
    <w:p w14:paraId="016C2208" w14:textId="77777777" w:rsidR="00B33DA8" w:rsidRDefault="00000000">
      <w:r>
        <w:t xml:space="preserve">* </w:t>
      </w:r>
      <w:proofErr w:type="gramStart"/>
      <w:r>
        <w:t>state</w:t>
      </w:r>
      <w:proofErr w:type="gramEnd"/>
      <w:r>
        <w:t xml:space="preserve"> when evidence is species-, cell-type-, or stimulus-specific;</w:t>
      </w:r>
    </w:p>
    <w:p w14:paraId="2C624195" w14:textId="77777777" w:rsidR="00B33DA8" w:rsidRDefault="00000000">
      <w:r>
        <w:t xml:space="preserve">* </w:t>
      </w:r>
      <w:proofErr w:type="gramStart"/>
      <w:r>
        <w:t>prioritize</w:t>
      </w:r>
      <w:proofErr w:type="gramEnd"/>
      <w:r>
        <w:t xml:space="preserve"> mammalian and human evidence when available;</w:t>
      </w:r>
    </w:p>
    <w:p w14:paraId="507ABF34" w14:textId="77777777" w:rsidR="00B33DA8" w:rsidRDefault="00000000">
      <w:r>
        <w:t xml:space="preserve">* </w:t>
      </w:r>
      <w:proofErr w:type="gramStart"/>
      <w:r>
        <w:t>do</w:t>
      </w:r>
      <w:proofErr w:type="gramEnd"/>
      <w:r>
        <w:t xml:space="preserve"> not describe biomarkers as causal machinery without experimental support.</w:t>
      </w:r>
    </w:p>
    <w:p w14:paraId="10061D93" w14:textId="77777777" w:rsidR="00B33DA8" w:rsidRDefault="00000000">
      <w:r>
        <w:t>The final objective is to reconstruct **[PATHWAY NAME] from the first biological signal to the physical and irreversible death of the cell, explaining every major causal molecular step in between**.</w:t>
      </w:r>
    </w:p>
    <w:p w14:paraId="55A94CF2" w14:textId="5C51BEDF" w:rsidR="00B33DA8" w:rsidRDefault="00000000">
      <w:pPr>
        <w:pStyle w:val="Ttulo2"/>
      </w:pPr>
      <w:r>
        <w:rPr>
          <w:highlight w:val="green"/>
        </w:rPr>
        <w:t>Supplementary Prompt S2</w:t>
      </w:r>
      <w:r w:rsidR="00FA32CA">
        <w:t>.</w:t>
      </w:r>
      <w:r>
        <w:t xml:space="preserve"> Harmonization framework</w:t>
      </w:r>
    </w:p>
    <w:p w14:paraId="5AF9B0C3" w14:textId="77777777" w:rsidR="00B33DA8" w:rsidRDefault="00000000">
      <w:r>
        <w:t xml:space="preserve">Using **only the text and references provided below**, write a detailed, publication-ready mechanistic description of **[PATHWAY </w:t>
      </w:r>
      <w:proofErr w:type="gramStart"/>
      <w:r>
        <w:t>NAME]*</w:t>
      </w:r>
      <w:proofErr w:type="gramEnd"/>
      <w:r>
        <w:t>* in English for the RCDome.</w:t>
      </w:r>
    </w:p>
    <w:p w14:paraId="37FF024E" w14:textId="77777777" w:rsidR="00B33DA8" w:rsidRDefault="00000000">
      <w:r>
        <w:t>Follow this structure:</w:t>
      </w:r>
    </w:p>
    <w:p w14:paraId="4D083F87" w14:textId="77777777" w:rsidR="00B33DA8" w:rsidRDefault="00000000">
      <w:r>
        <w:t>1. **Definition and Classification** — state whether it is established, emerging, provisional, subtype, process, trigger, or RCD-related concept. Clearly distinguish what is consensus from what is recent, context-dependent, or unresolved.</w:t>
      </w:r>
    </w:p>
    <w:p w14:paraId="507A0C09" w14:textId="77777777" w:rsidR="00B33DA8" w:rsidRDefault="00000000">
      <w:r>
        <w:t>2. **Initiation and Triggers** — explain the physiological/pathological context, trigger, sensor/receptor, and earliest known intracellular event. If the trigger or sensor is unknown, state this explicitly.</w:t>
      </w:r>
    </w:p>
    <w:p w14:paraId="752CA7FB" w14:textId="77777777" w:rsidR="00B33DA8" w:rsidRDefault="00000000">
      <w:r>
        <w:t>3. **Core Mechanistic Machinery** — describe the pathway continuously from trigger to signaling, molecular complexes, organelles, biochemical reactions, and structural changes. Explain the precise role of each major molecule; do not call a regulator an executor unless supported.</w:t>
      </w:r>
    </w:p>
    <w:p w14:paraId="4D354BE8" w14:textId="77777777" w:rsidR="00B33DA8" w:rsidRDefault="00000000">
      <w:r>
        <w:t>4. **Propagation and Amplification** — explain important branches, feedback loops, metabolic/ionic changes, organelle remodeling, and context-dependent regulators.</w:t>
      </w:r>
    </w:p>
    <w:p w14:paraId="10ADE9B6" w14:textId="77777777" w:rsidR="00B33DA8" w:rsidRDefault="00000000">
      <w:r>
        <w:lastRenderedPageBreak/>
        <w:t>5. **Protective/Negative Regulators** — describe mechanisms that suppress, delay, repair, or reverse the pathway.</w:t>
      </w:r>
    </w:p>
    <w:p w14:paraId="7AEBAA34" w14:textId="77777777" w:rsidR="00B33DA8" w:rsidRDefault="00000000">
      <w:r>
        <w:t>6. **Commitment / Point of No Return** — identify the best-supported irreversible step. If no universal commitment point is known, say so and give the strongest current candidate.</w:t>
      </w:r>
    </w:p>
    <w:p w14:paraId="3DED8AD8" w14:textId="77777777" w:rsidR="00B33DA8" w:rsidRDefault="00000000">
      <w:r>
        <w:t xml:space="preserve">7. **Execution and Terminal Cause of Death** — answer explicitly: **What physically kills the </w:t>
      </w:r>
      <w:proofErr w:type="gramStart"/>
      <w:r>
        <w:t>cell?*</w:t>
      </w:r>
      <w:proofErr w:type="gramEnd"/>
      <w:r>
        <w:t>* Distinguish the core executor from downstream morphology or biomarkers. If the terminal mechanism is unresolved, do not invent one.</w:t>
      </w:r>
    </w:p>
    <w:p w14:paraId="5CF46758" w14:textId="77777777" w:rsidR="00B33DA8" w:rsidRDefault="00000000">
      <w:r>
        <w:t>8. **Morphological Sequence** — describe the chronological cellular changes from a normal cell to terminal death.</w:t>
      </w:r>
    </w:p>
    <w:p w14:paraId="272D83DF" w14:textId="77777777" w:rsidR="00B33DA8" w:rsidRDefault="00000000">
      <w:r>
        <w:t>9. **Crosstalk and Differential Diagnosis** — distinguish this pathway mechanistically from the most similar RCD modalities.</w:t>
      </w:r>
    </w:p>
    <w:p w14:paraId="1828C0E1" w14:textId="77777777" w:rsidR="00B33DA8" w:rsidRDefault="00000000">
      <w:r>
        <w:t>10. **Experimental Validation** — explain the strongest experiments required to prove this pathway, including genetic perturbation, pharmacological rescue, functional assays, imaging, and exclusion of competing death mechanisms.</w:t>
      </w:r>
    </w:p>
    <w:p w14:paraId="6E7C3A6C" w14:textId="77777777" w:rsidR="00B33DA8" w:rsidRDefault="00000000">
      <w:r>
        <w:t>11. **Molecular Hierarchy** — summarize: initiators/sensors → signal transducers → core machinery → executors → negative regulators → biomarkers.</w:t>
      </w:r>
    </w:p>
    <w:p w14:paraId="2EDA3467" w14:textId="77777777" w:rsidR="00B33DA8" w:rsidRDefault="00000000">
      <w:r>
        <w:t>12. **Integrated Canonical Sequence** — finish with one continuous arrow-style mechanistic sequence from the first trigger to terminal death.</w:t>
      </w:r>
    </w:p>
    <w:p w14:paraId="04190DF1" w14:textId="77777777" w:rsidR="00B33DA8" w:rsidRDefault="00000000">
      <w:r>
        <w:t>13. **Final Mechanistic Interpretation** — provide the most defensible operational definition for RCDome, including evidence status, biological context/species if relevant, core machinery, terminal lesion, and major unresolved question.</w:t>
      </w:r>
    </w:p>
    <w:p w14:paraId="503884B5" w14:textId="77777777" w:rsidR="00B33DA8" w:rsidRDefault="00000000">
      <w:r>
        <w:t>14. **References** — use numbered citations [1], [2], etc. throughout the text and provide a numbered reference list with DOI at the end.</w:t>
      </w:r>
    </w:p>
    <w:p w14:paraId="2347E966" w14:textId="77777777" w:rsidR="00B33DA8" w:rsidRDefault="00000000">
      <w:r>
        <w:rPr>
          <w:b/>
        </w:rPr>
        <w:t>Critical rules</w:t>
      </w:r>
    </w:p>
    <w:p w14:paraId="18D1B923" w14:textId="77777777" w:rsidR="00B33DA8" w:rsidRDefault="00000000">
      <w:r>
        <w:t>* Do **not** invent mechanisms, molecules, receptors, executors, or points of no return.</w:t>
      </w:r>
    </w:p>
    <w:p w14:paraId="40B82757" w14:textId="77777777" w:rsidR="00B33DA8" w:rsidRDefault="00000000">
      <w:r>
        <w:t>* Separate **established core**, **context-dependent/emerging evidence**, and **hypotheses/unresolved mechanisms**.</w:t>
      </w:r>
    </w:p>
    <w:p w14:paraId="73CA1436" w14:textId="77777777" w:rsidR="00B33DA8" w:rsidRDefault="00000000">
      <w:r>
        <w:t>* Morphology or biomarkers alone must not be treated as proof of mechanism.</w:t>
      </w:r>
    </w:p>
    <w:p w14:paraId="2A765321" w14:textId="77777777" w:rsidR="00B33DA8" w:rsidRDefault="00000000">
      <w:r>
        <w:lastRenderedPageBreak/>
        <w:t>* Do not infer active cell death from gene-expression signatures alone; when relevant, describe transcriptomic data as **pathway-associated or susceptibility states**.</w:t>
      </w:r>
    </w:p>
    <w:p w14:paraId="185FE80A" w14:textId="77777777" w:rsidR="00B33DA8" w:rsidRDefault="00000000">
      <w:r>
        <w:t>* Avoid tables unless absolutely necessary.</w:t>
      </w:r>
    </w:p>
    <w:p w14:paraId="32559350" w14:textId="77777777" w:rsidR="00B33DA8" w:rsidRDefault="00000000">
      <w:r>
        <w:t>* Preserve mechanistic precision and write as a continuous biological story rather than a list of disconnected facts.</w:t>
      </w:r>
    </w:p>
    <w:p w14:paraId="18012913" w14:textId="77777777" w:rsidR="00B33DA8" w:rsidRDefault="00000000">
      <w:r>
        <w:t>* If the supplied references conflict, explain the uncertainty instead of choosing one without justification.</w:t>
      </w:r>
    </w:p>
    <w:p w14:paraId="7F917C8A" w14:textId="77777777" w:rsidR="00B33DA8" w:rsidRDefault="00000000">
      <w:r>
        <w:t>* Do not use outside references unless explicitly requested.</w:t>
      </w:r>
    </w:p>
    <w:p w14:paraId="0B63B4A5" w14:textId="77777777" w:rsidR="00B33DA8" w:rsidRDefault="00000000">
      <w:r>
        <w:rPr>
          <w:b/>
        </w:rPr>
        <w:t>SOURCE TEXT AND REFERENCES</w:t>
      </w:r>
    </w:p>
    <w:p w14:paraId="0B15D0D2" w14:textId="77777777" w:rsidR="00B33DA8" w:rsidRDefault="00000000">
      <w:r>
        <w:t>[PASTE TEXT + REFERENCES HERE]</w:t>
      </w:r>
    </w:p>
    <w:p w14:paraId="5EF8C893" w14:textId="0CBDBAA6" w:rsidR="00B33DA8" w:rsidRDefault="00000000">
      <w:pPr>
        <w:pStyle w:val="Ttulo2"/>
      </w:pPr>
      <w:r>
        <w:rPr>
          <w:highlight w:val="green"/>
        </w:rPr>
        <w:t>Supplementary Prompt S3</w:t>
      </w:r>
      <w:r w:rsidR="00FA32CA">
        <w:t>.</w:t>
      </w:r>
      <w:r>
        <w:t xml:space="preserve"> Figure-generation framework</w:t>
      </w:r>
    </w:p>
    <w:p w14:paraId="0933A9C4" w14:textId="77777777" w:rsidR="00B33DA8" w:rsidRDefault="00000000">
      <w:r>
        <w:t>Create a professional scientific illustration of [MECHANISM NAME] for publication in a high-impact peer-reviewed journal such as Nature Cell Biology, Cell Death &amp; Differentiation, or Nature Reviews Cancer. The visual style must follow the standards of professional biomedical scientific illustration — precise, informative, and elegant.</w:t>
      </w:r>
    </w:p>
    <w:p w14:paraId="1E046912" w14:textId="77777777" w:rsidR="00B33DA8" w:rsidRDefault="00000000">
      <w:r>
        <w:t>CONCEPT TO ILLUSTRATE:</w:t>
      </w:r>
    </w:p>
    <w:p w14:paraId="2A3F991A" w14:textId="77777777" w:rsidR="00B33DA8" w:rsidRDefault="00000000">
      <w:r>
        <w:t>[PASTE THE MECHANISM DESCRIPTION HERE]</w:t>
      </w:r>
    </w:p>
    <w:p w14:paraId="64E151CF" w14:textId="77777777" w:rsidR="00B33DA8" w:rsidRDefault="00000000">
      <w:r>
        <w:t>MANDATORY VISUAL REQUIREMENTS:</w:t>
      </w:r>
    </w:p>
    <w:p w14:paraId="330C6A76" w14:textId="77777777" w:rsidR="00B33DA8" w:rsidRDefault="00000000">
      <w:r>
        <w:t>White background, no gradients, no dark themes, no cinematic effects, no glow, no lens flares</w:t>
      </w:r>
    </w:p>
    <w:p w14:paraId="7E5CF8CB" w14:textId="77777777" w:rsidR="00B33DA8" w:rsidRDefault="00000000">
      <w:r>
        <w:t xml:space="preserve">Clean vector-like illustration style, semi-3D organelle shapes with soft shading for depth — reference style: Nature Reviews figures, </w:t>
      </w:r>
      <w:proofErr w:type="spellStart"/>
      <w:r>
        <w:t>BioRender</w:t>
      </w:r>
      <w:proofErr w:type="spellEnd"/>
      <w:r>
        <w:t xml:space="preserve"> premium, or Servier Medical Art</w:t>
      </w:r>
    </w:p>
    <w:p w14:paraId="4FC19256" w14:textId="77777777" w:rsidR="00B33DA8" w:rsidRDefault="00000000">
      <w:r>
        <w:t>All molecular components and cellular structures must be anatomically and conceptually accurate — no decorative invention</w:t>
      </w:r>
    </w:p>
    <w:p w14:paraId="5017BA31" w14:textId="77777777" w:rsidR="00B33DA8" w:rsidRDefault="00000000">
      <w:r>
        <w:t>Color palette: use distinct, harmonious, muted scientific colors — one consistent color per molecular actor throughout the figure (e.g., always the same color for caspases, for mitochondria, for the nucleus, etc.)</w:t>
      </w:r>
    </w:p>
    <w:p w14:paraId="394ED88C" w14:textId="77777777" w:rsidR="00B33DA8" w:rsidRDefault="00000000">
      <w:r>
        <w:t>All key structures must be labeled with clean black sans-serif text (Arial or Helvetica style) connected by thin leader lines</w:t>
      </w:r>
    </w:p>
    <w:p w14:paraId="20D6382C" w14:textId="77777777" w:rsidR="00B33DA8" w:rsidRDefault="00000000">
      <w:r>
        <w:lastRenderedPageBreak/>
        <w:t>Arrows must indicate directionality of the pathway (activation = solid arrow →, inhibition = flat-head bar ⊣, crosstalk = dashed arrow)</w:t>
      </w:r>
    </w:p>
    <w:p w14:paraId="5535A422" w14:textId="77777777" w:rsidR="00B33DA8" w:rsidRDefault="00000000">
      <w:r>
        <w:t>The cell must be shown in cross-section, revealing internal organelles relevant to the mechanism</w:t>
      </w:r>
    </w:p>
    <w:p w14:paraId="05E69661" w14:textId="77777777" w:rsidR="00B33DA8" w:rsidRDefault="00000000">
      <w:r>
        <w:t>Include a small inset panel in the bottom-right corner showing the cancer relevance described in the concept: either evasion, promotion, or therapeutic exploitation — labeled "Cancer Context"</w:t>
      </w:r>
    </w:p>
    <w:p w14:paraId="7A23BB89" w14:textId="77777777" w:rsidR="00B33DA8" w:rsidRDefault="00000000">
      <w:r>
        <w:t>If the mechanism shares pathways with other cell death forms, show these connections as light gray dashed arrows with small labels at the periphery of the figure, without overloading the main illustration</w:t>
      </w:r>
    </w:p>
    <w:p w14:paraId="47DE6EBB" w14:textId="77777777" w:rsidR="00B33DA8" w:rsidRDefault="00000000">
      <w:r>
        <w:t>Layout must be organized left to right or top to bottom following the biological sequence of the pathway</w:t>
      </w:r>
    </w:p>
    <w:p w14:paraId="3B4ACE6E" w14:textId="77777777" w:rsidR="00B33DA8" w:rsidRDefault="00000000">
      <w:r>
        <w:t>Final image must look publication-ready at 600 DPI, suitable as a figure panel or journal cover candidate.</w:t>
      </w:r>
    </w:p>
    <w:p w14:paraId="3FDE2B47" w14:textId="77777777" w:rsidR="00B33DA8" w:rsidRDefault="00000000">
      <w:r>
        <w:t>STYLE REFERENCES (mandatory):</w:t>
      </w:r>
    </w:p>
    <w:p w14:paraId="492F0A0D" w14:textId="77777777" w:rsidR="00B33DA8" w:rsidRDefault="00000000">
      <w:r>
        <w:t xml:space="preserve">"Reference style: scientific figure illustration from Nature Reviews Cancer or Cell journal, drawn by a professional biomedical illustrator, white background, flat-to-semi-3D organelle style, no dark themes, no futuristic aesthetics, no glowing effects. </w:t>
      </w:r>
      <w:proofErr w:type="spellStart"/>
      <w:r>
        <w:t>BioRender</w:t>
      </w:r>
      <w:proofErr w:type="spellEnd"/>
      <w:r>
        <w:t xml:space="preserve"> premium quality."</w:t>
      </w:r>
    </w:p>
    <w:p w14:paraId="2CA16499" w14:textId="77777777" w:rsidR="00B33DA8" w:rsidRDefault="00000000">
      <w:r>
        <w:t>DO NOT include:</w:t>
      </w:r>
    </w:p>
    <w:p w14:paraId="469D0D2F" w14:textId="77777777" w:rsidR="00B33DA8" w:rsidRDefault="00000000">
      <w:r>
        <w:t>Dark or black backgrounds</w:t>
      </w:r>
    </w:p>
    <w:p w14:paraId="120FA87B" w14:textId="77777777" w:rsidR="00B33DA8" w:rsidRDefault="00000000">
      <w:r>
        <w:t>Neon or glowing effects</w:t>
      </w:r>
    </w:p>
    <w:p w14:paraId="7DBF3971" w14:textId="77777777" w:rsidR="00B33DA8" w:rsidRDefault="00000000">
      <w:r>
        <w:t>Futuristic or sci-fi aesthetics</w:t>
      </w:r>
    </w:p>
    <w:p w14:paraId="2C0B9E2F" w14:textId="77777777" w:rsidR="00B33DA8" w:rsidRDefault="00000000">
      <w:r>
        <w:t>Decorative elements not grounded in the biology</w:t>
      </w:r>
    </w:p>
    <w:p w14:paraId="54C04DE9" w14:textId="77777777" w:rsidR="00B33DA8" w:rsidRDefault="00000000">
      <w:r>
        <w:t>Generic "cell death" imagery not specific to the described mechanism</w:t>
      </w:r>
    </w:p>
    <w:p w14:paraId="7079BF81" w14:textId="77777777" w:rsidR="00B33DA8" w:rsidRDefault="00000000">
      <w:r>
        <w:t>Text outside of labels (no titles, no legends inside the image)</w:t>
      </w:r>
    </w:p>
    <w:p w14:paraId="09B4AC3B" w14:textId="381B8147" w:rsidR="00B33DA8" w:rsidRDefault="00000000">
      <w:pPr>
        <w:pStyle w:val="Ttulo2"/>
      </w:pPr>
      <w:r>
        <w:rPr>
          <w:highlight w:val="green"/>
        </w:rPr>
        <w:t>Supplementary Prompt S4</w:t>
      </w:r>
      <w:r w:rsidR="00FA32CA">
        <w:t xml:space="preserve">. </w:t>
      </w:r>
      <w:r>
        <w:t>Multi-model scientific-accuracy audit framework</w:t>
      </w:r>
    </w:p>
    <w:p w14:paraId="73400A5A" w14:textId="77777777" w:rsidR="00B33DA8" w:rsidRDefault="00000000">
      <w:r>
        <w:t>SCIENTIFIC ACCURACY AUDIT for [MECHANISM NAME]</w:t>
      </w:r>
    </w:p>
    <w:p w14:paraId="7ADA245D" w14:textId="77777777" w:rsidR="00B33DA8" w:rsidRDefault="00000000">
      <w:r>
        <w:t xml:space="preserve">Act as a senior peer reviewer specializing in regulated cell death (RCD), at the standard of high-impact journals such as Nature Cell Biology, Cell Death &amp; Differentiation, Molecular Cell, or Nature Reviews Cancer. Your task is to rigorously </w:t>
      </w:r>
      <w:r>
        <w:lastRenderedPageBreak/>
        <w:t>audit the conceptual, logical, and sequential accuracy of the RCD pathway described/illustrated below, prior to approval for publication.</w:t>
      </w:r>
    </w:p>
    <w:p w14:paraId="1DB205CA" w14:textId="77777777" w:rsidR="00B33DA8" w:rsidRDefault="00000000">
      <w:r>
        <w:t>RCD PATHWAY UNDER AUDIT:</w:t>
      </w:r>
    </w:p>
    <w:p w14:paraId="5194CF8D" w14:textId="77777777" w:rsidR="00B33DA8" w:rsidRDefault="00000000">
      <w:r>
        <w:t>[PATHWAY NAME — e.g., Necroptosis, Pyroptosis, Ferroptosis, PANoptosis, Intrinsic Apoptosis, etc.]</w:t>
      </w:r>
    </w:p>
    <w:p w14:paraId="54EB44C4" w14:textId="77777777" w:rsidR="00B33DA8" w:rsidRDefault="00000000">
      <w:r>
        <w:t>CONTENT TO BE AUDITED (textual description and/or generated image):</w:t>
      </w:r>
    </w:p>
    <w:p w14:paraId="60B9E64C" w14:textId="77777777" w:rsidR="00B33DA8" w:rsidRDefault="00000000">
      <w:r>
        <w:t>[PASTE THE MECHANISM DESCRIPTION HERE AND/OR DESCRIBE WHAT THE IMAGE SHOWS]</w:t>
      </w:r>
    </w:p>
    <w:p w14:paraId="56C4DC4E" w14:textId="77777777" w:rsidR="00B33DA8" w:rsidRDefault="00000000">
      <w:r>
        <w:t>MANDATORY AUDIT SCOPE — verify each of the following axes:</w:t>
      </w:r>
    </w:p>
    <w:p w14:paraId="59448F5A" w14:textId="77777777" w:rsidR="00B33DA8" w:rsidRDefault="00000000">
      <w:r>
        <w:t>Causal sequence (central pathway)</w:t>
      </w:r>
    </w:p>
    <w:p w14:paraId="363C4291" w14:textId="77777777" w:rsidR="00B33DA8" w:rsidRDefault="00000000">
      <w:r>
        <w:t xml:space="preserve">Are events in the correct chronological/causal order (sensor → adaptor → effector → execution)? Does every activation or inhibition arrow reflect a real molecular relationship documented in the primary literature? Are there no "logical jumps" (omitted obligatory intermediate steps that would change the mechanistic meaning)? Do multiprotein complexes (e.g., necrosome, inflammasome, </w:t>
      </w:r>
      <w:proofErr w:type="spellStart"/>
      <w:r>
        <w:t>apoptosome</w:t>
      </w:r>
      <w:proofErr w:type="spellEnd"/>
      <w:r>
        <w:t xml:space="preserve">, </w:t>
      </w:r>
      <w:proofErr w:type="spellStart"/>
      <w:r>
        <w:t>ripoptosome</w:t>
      </w:r>
      <w:proofErr w:type="spellEnd"/>
      <w:r>
        <w:t>) show the correct stoichiometric composition and correct partners?</w:t>
      </w:r>
    </w:p>
    <w:p w14:paraId="40D28A78" w14:textId="77777777" w:rsidR="00B33DA8" w:rsidRDefault="00000000">
      <w:r>
        <w:t>Molecular identity and specificity</w:t>
      </w:r>
    </w:p>
    <w:p w14:paraId="6816F69B" w14:textId="77777777" w:rsidR="00B33DA8" w:rsidRDefault="00000000">
      <w:r>
        <w:t>Is each protein/molecule cited specific to this pathway, or is it shared/redundant with another RCD pathway (and is this correctly flagged as crosstalk rather than exclusive)? Are isoforms and activation states (cleaved vs. precursor; phosphorylated vs. non-phosphorylated; oligomerized vs. monomeric) correctly differentiated? Is the subcellular localization of each component anatomically correct (cytosol, outer mitochondrial membrane, plasma membrane, nucleus, ER, etc.)?</w:t>
      </w:r>
    </w:p>
    <w:p w14:paraId="53FF906B" w14:textId="77777777" w:rsidR="00B33DA8" w:rsidRDefault="00000000">
      <w:r>
        <w:t>Directionality and arrow type</w:t>
      </w:r>
    </w:p>
    <w:p w14:paraId="0E54393B" w14:textId="77777777" w:rsidR="00B33DA8" w:rsidRDefault="00000000">
      <w:r>
        <w:t>Is every activation shown as a solid arrow (→) and every inhibition as a flat-head bar (⊣)? Is there no sign inversion (e.g., an inhibitor shown as an activator, or vice versa)? Are bidirectional or feedback relationships (positive/negative) explicitly marked as such?</w:t>
      </w:r>
    </w:p>
    <w:p w14:paraId="50245689" w14:textId="77777777" w:rsidR="00B33DA8" w:rsidRDefault="00000000">
      <w:r>
        <w:t>Peripheral context (crosstalk with other pathways)</w:t>
      </w:r>
    </w:p>
    <w:p w14:paraId="1D18B843" w14:textId="77777777" w:rsidR="00B33DA8" w:rsidRDefault="00000000">
      <w:r>
        <w:t xml:space="preserve">Are connections to other forms of cell death (apoptosis, necroptosis, pyroptosis, ferroptosis, autophagy, PANoptosis, etc.) biologically validated and not speculative? Are decision/branch points (e.g., caspase-8 as a switch between apoptosis and </w:t>
      </w:r>
      <w:r>
        <w:lastRenderedPageBreak/>
        <w:t>necroptosis) correctly positioned within the pathway, rather than presented as exclusively central to this pathway? Is there no improper overlap between "central pathway" and "peripheral crosstalk" (i.e., a central component cannot be treated as peripheral, and vice versa)?</w:t>
      </w:r>
    </w:p>
    <w:p w14:paraId="5861AACB" w14:textId="77777777" w:rsidR="00B33DA8" w:rsidRDefault="00000000">
      <w:r>
        <w:t>Cancer context (inset)</w:t>
      </w:r>
    </w:p>
    <w:p w14:paraId="35E22063" w14:textId="77777777" w:rsidR="00B33DA8" w:rsidRDefault="00000000">
      <w:r>
        <w:t>Is the described role (evasion, promotion, or therapeutic exploitation) consistent with current literature and not an overgeneralization? Is the cited oncological relevance specific to this pathway (and not a generic cell-death effect)? If a drug/inhibitor/agonist is cited as therapeutic exploitation, does it actually act on the indicated molecular target, at the correct step of the pathway?</w:t>
      </w:r>
    </w:p>
    <w:p w14:paraId="3F014C5C" w14:textId="77777777" w:rsidR="00B33DA8" w:rsidRDefault="00000000">
      <w:r>
        <w:t>Terminological consistency</w:t>
      </w:r>
    </w:p>
    <w:p w14:paraId="2FDB2975" w14:textId="77777777" w:rsidR="00B33DA8" w:rsidRDefault="00000000">
      <w:r>
        <w:t>Does the nomenclature follow the most recent Nomenclature Committee on Cell Death (NCCD) guidelines? Are terms not being used as synonyms when they actually describe distinct processes (e.g., "necrosis" vs. "necroptosis"; "immunogenic cell death" treated as a separate pathway rather than a phenotype)?</w:t>
      </w:r>
    </w:p>
    <w:p w14:paraId="05D244A6" w14:textId="77777777" w:rsidR="00B33DA8" w:rsidRDefault="00000000">
      <w:r>
        <w:t>Critical omissions</w:t>
      </w:r>
    </w:p>
    <w:p w14:paraId="6EA0514B" w14:textId="77777777" w:rsidR="00B33DA8" w:rsidRDefault="00000000">
      <w:r>
        <w:t>Is there any essential regulator (key activator or inhibitor) missing whose absence would change the interpretation of the pathway? Is there any relevant feedback loop that was omitted?</w:t>
      </w:r>
    </w:p>
    <w:p w14:paraId="175BA4E8" w14:textId="77777777" w:rsidR="00B33DA8" w:rsidRDefault="00000000">
      <w:r>
        <w:t>MANDATORY OUTPUT FORMAT:</w:t>
      </w:r>
    </w:p>
    <w:p w14:paraId="31D21918" w14:textId="77777777" w:rsidR="00B33DA8" w:rsidRDefault="00000000">
      <w:r>
        <w:t>For each of the 7 axes above, answer in table format with the columns:</w:t>
      </w:r>
    </w:p>
    <w:p w14:paraId="64198C20" w14:textId="77777777" w:rsidR="00B33DA8" w:rsidRDefault="00000000">
      <w:r>
        <w:t>| Axis | Status (✅ Correct / ⚠️ Imprecise / ❌ Incorrect) | Identified problem | Why it is wrong (conceptual rationale) | How to correct it (specific, actionable fix) |</w:t>
      </w:r>
    </w:p>
    <w:p w14:paraId="4321A2BB" w14:textId="77777777" w:rsidR="00B33DA8" w:rsidRDefault="00000000">
      <w:r>
        <w:t>Rule: every row marked ⚠️ or ❌ MUST include a concrete, actionable correction in the last column — never leave a problem flagged without a corresponding fix. The correction must specify exactly what changes (e.g., "replace inhibitory bar with activating arrow between X and Y", "reposition complex Z from cytosol to outer mitochondrial membrane", "relabel as cleaved-caspase-3 instead of pro-caspase-3", "move this connection from central pathway to peripheral crosstalk and mark with gray dashed arrow").</w:t>
      </w:r>
    </w:p>
    <w:p w14:paraId="7C6CCA7A" w14:textId="77777777" w:rsidR="00B33DA8" w:rsidRDefault="00000000">
      <w:r>
        <w:t>At the end, provide:</w:t>
      </w:r>
    </w:p>
    <w:p w14:paraId="74A0B5C2" w14:textId="77777777" w:rsidR="00B33DA8" w:rsidRDefault="00000000">
      <w:r>
        <w:t>(a) an overall verdict: PUBLISHABLE / PUBLISHABLE WITH MINOR CORRECTIONS / REQUIRES MAJOR REVISION / REJECT;</w:t>
      </w:r>
    </w:p>
    <w:p w14:paraId="5469D507" w14:textId="77777777" w:rsidR="00B33DA8" w:rsidRDefault="00000000">
      <w:r>
        <w:lastRenderedPageBreak/>
        <w:t>(b) if any inconsistency was found, a fully corrected and rewritten version of the mechanistic description, with every fix from the table already incorporated, ready to be used as the new input for the [CONCEPT TO ILLUSTRATE] field of the image-generation prompt;</w:t>
      </w:r>
    </w:p>
    <w:p w14:paraId="7B1E49A0" w14:textId="77777777" w:rsidR="00B33DA8" w:rsidRDefault="00000000">
      <w:r>
        <w:t>(c) if any inconsistency was found, a short bullet-point "fix list" of only the elements that need to be physically changed in the image itself (position, arrow type, label text, color, removal or addition of a component) — written so it can be pasted directly as an instruction for image regeneration;</w:t>
      </w:r>
    </w:p>
    <w:p w14:paraId="53FB8865" w14:textId="77777777" w:rsidR="00B33DA8" w:rsidRDefault="00000000">
      <w:r>
        <w:t>(d) if no inconsistency was found, explicitly state "No corrections needed — pathway is accurate as described" and skip (b) and (c).</w:t>
      </w:r>
    </w:p>
    <w:p w14:paraId="73AC5B89" w14:textId="77777777" w:rsidR="00B33DA8" w:rsidRDefault="00000000">
      <w:r>
        <w:t>Be rigorous and skeptical by default: treat any claim that is not broadly consolidated in the literature as "imprecise" until proven otherwise, even if it seems plausible. Do not soften critiques out of courtesy — the standard is that of a demanding Q1-journal reviewer. Never flag a problem without simultaneously providing its solution.</w:t>
      </w:r>
    </w:p>
    <w:p w14:paraId="36409699" w14:textId="77777777" w:rsidR="00A92B80" w:rsidRPr="00CD1CF5" w:rsidRDefault="008C332D" w:rsidP="00CD1CF5">
      <w:pPr>
        <w:pStyle w:val="Ttulo1"/>
        <w:spacing w:before="0" w:line="240" w:lineRule="auto"/>
        <w:rPr>
          <w:rFonts w:cstheme="majorHAnsi"/>
          <w:sz w:val="24"/>
          <w:szCs w:val="24"/>
        </w:rPr>
      </w:pPr>
      <w:r w:rsidRPr="00CD1CF5">
        <w:rPr>
          <w:rFonts w:cstheme="majorHAnsi"/>
          <w:sz w:val="24"/>
          <w:szCs w:val="24"/>
        </w:rPr>
        <w:t>SUPPLEMENTARY FIGURE LEGENDS</w:t>
      </w:r>
    </w:p>
    <w:p w14:paraId="66DE40EC" w14:textId="77777777" w:rsidR="00CD26F8" w:rsidRDefault="00000000">
      <w:r w:rsidRPr="000D6250">
        <w:rPr>
          <w:b/>
          <w:bCs/>
          <w:highlight w:val="green"/>
        </w:rPr>
        <w:t>Supplementary Figure S1</w:t>
      </w:r>
      <w:r w:rsidRPr="000D6250">
        <w:rPr>
          <w:b/>
          <w:bCs/>
        </w:rPr>
        <w:t xml:space="preserve">. Evaluation architecture of RCDome. </w:t>
      </w:r>
      <w:r w:rsidRPr="00D91281">
        <w:t>RCDome decomposes its curation into three objects that answer distinct scientific questions and are therefore assessed independently and never conflated. (1) For the RCD entity, the question is: "What kind of cell-death entity is this?"</w:t>
      </w:r>
      <w:r w:rsidRPr="000D6250">
        <w:rPr>
          <w:b/>
          <w:bCs/>
        </w:rPr>
        <w:t xml:space="preserve"> </w:t>
      </w:r>
      <w:r w:rsidRPr="00D91281">
        <w:t>The answer is provided by modality criteria (MC1–MC5: machinery, trigger, morphology, nomenclature, distinguishability), an evidence checklist (Q1–Q13), biological gates (BG0–BG6, with BG1 machinery and BG2 necessity obligatory), and a final ontological level (L1–L5); complementary descriptors record evidence maturity, species scope, relationship type, and parent entity. (2) For the gene–RCD association, the question is: "Is gene X mechanistically linked to this entity?" The answer is provided by evidence tier (ET1–ET4) and a distinct confidence tier (CT1–CT4 or confidence_score), with mechanistic role and direction (EXECUTOR, REGULATOR, MARKER; positive/negative/mixed). (3) For pipeline quality, the question is: "Can the automated extraction be trusted?" The answer is provided by Elicit governance gates (EG1–EG5), input validation (allow-list and vocabulary compliance), EXECUTOR precision, and traceability. This three-way separation ensures that an ontological judgment is never mistaken for gene-level evidence, and that an extraction error is never mistaken for biological signal.</w:t>
      </w:r>
    </w:p>
    <w:p w14:paraId="776D99AA" w14:textId="77777777" w:rsidR="00A92B80" w:rsidRPr="000D6250" w:rsidRDefault="00000000" w:rsidP="00CD1CF5">
      <w:pPr>
        <w:spacing w:after="0" w:line="240" w:lineRule="auto"/>
        <w:rPr>
          <w:rFonts w:asciiTheme="majorHAnsi" w:hAnsiTheme="majorHAnsi" w:cstheme="majorHAnsi"/>
          <w:bCs/>
          <w:szCs w:val="24"/>
        </w:rPr>
      </w:pPr>
      <w:r w:rsidRPr="00CD1CF5">
        <w:rPr>
          <w:rFonts w:asciiTheme="majorHAnsi" w:hAnsiTheme="majorHAnsi" w:cstheme="majorHAnsi"/>
          <w:b/>
          <w:szCs w:val="24"/>
          <w:highlight w:val="green"/>
        </w:rPr>
        <w:t>Supplementary Figure S2</w:t>
      </w:r>
      <w:r w:rsidRPr="00CD1CF5">
        <w:rPr>
          <w:rFonts w:asciiTheme="majorHAnsi" w:hAnsiTheme="majorHAnsi" w:cstheme="majorHAnsi"/>
          <w:b/>
          <w:szCs w:val="24"/>
        </w:rPr>
        <w:t xml:space="preserve">. </w:t>
      </w:r>
      <w:r w:rsidRPr="000D6250">
        <w:rPr>
          <w:rFonts w:asciiTheme="majorHAnsi" w:hAnsiTheme="majorHAnsi" w:cstheme="majorHAnsi"/>
          <w:b/>
          <w:szCs w:val="24"/>
        </w:rPr>
        <w:t>Database contribution and multi-database corroboration.</w:t>
      </w:r>
      <w:r w:rsidRPr="000D6250">
        <w:rPr>
          <w:rFonts w:asciiTheme="majorHAnsi" w:hAnsiTheme="majorHAnsi" w:cstheme="majorHAnsi"/>
          <w:bCs/>
          <w:szCs w:val="24"/>
        </w:rPr>
        <w:t xml:space="preserve"> (A) Number of gene–RCD associations contributed by each of the 20 source databases (log2-scaled axis; exact counts printed at the end of each bar). (B) Number of source databases per association: 10,009 associations rest on a single source, 6,313 are corroborated by two sources, and the count declines steeply with additional sources; the long tail up to 14 sources marks the best-corroborated </w:t>
      </w:r>
      <w:r w:rsidRPr="000D6250">
        <w:rPr>
          <w:rFonts w:asciiTheme="majorHAnsi" w:hAnsiTheme="majorHAnsi" w:cstheme="majorHAnsi"/>
          <w:bCs/>
          <w:szCs w:val="24"/>
        </w:rPr>
        <w:lastRenderedPageBreak/>
        <w:t>associations (e.g., the canonical executors), which carry the strongest multi-database agreement.</w:t>
      </w:r>
    </w:p>
    <w:p w14:paraId="42ACF93B" w14:textId="77777777" w:rsidR="00FE7B70" w:rsidRPr="00CD1CF5" w:rsidRDefault="00FE7B70" w:rsidP="00CD1CF5">
      <w:pPr>
        <w:spacing w:after="0" w:line="240" w:lineRule="auto"/>
        <w:rPr>
          <w:rFonts w:asciiTheme="majorHAnsi" w:hAnsiTheme="majorHAnsi" w:cstheme="majorHAnsi"/>
          <w:szCs w:val="24"/>
        </w:rPr>
      </w:pPr>
    </w:p>
    <w:p w14:paraId="00E22A9F"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highlight w:val="green"/>
        </w:rPr>
        <w:t>Supplementary Figure S3</w:t>
      </w:r>
      <w:r w:rsidRPr="000D6250">
        <w:rPr>
          <w:rFonts w:asciiTheme="majorHAnsi" w:hAnsiTheme="majorHAnsi" w:cstheme="majorHAnsi"/>
          <w:b/>
          <w:szCs w:val="24"/>
        </w:rPr>
        <w:t>. Mechanistic associations per source, stacked by RCD entity ontological level.</w:t>
      </w:r>
      <w:r w:rsidRPr="000D6250">
        <w:rPr>
          <w:rFonts w:asciiTheme="majorHAnsi" w:hAnsiTheme="majorHAnsi" w:cstheme="majorHAnsi"/>
          <w:bCs/>
          <w:szCs w:val="24"/>
        </w:rPr>
        <w:t xml:space="preserve"> Each bar shows the number of gene–RCD associations classified as mechanistically involved by the DeepSeek chain-of-thought run (cot_mechanistic = YES), segmented by the ontological level of the corresponding RCD entity: L1 modalities (19 entities), L2 subtypes (7), L3 triggers (2), L4 functional/contextual (13), and L5 generic/umbrella/taxon (12). Colors follow the same concordant palette as </w:t>
      </w:r>
      <w:r w:rsidRPr="000D6250">
        <w:rPr>
          <w:rFonts w:asciiTheme="majorHAnsi" w:hAnsiTheme="majorHAnsi" w:cstheme="majorHAnsi"/>
          <w:bCs/>
          <w:szCs w:val="24"/>
          <w:highlight w:val="green"/>
        </w:rPr>
        <w:t>Figure 4</w:t>
      </w:r>
      <w:r w:rsidRPr="000D6250">
        <w:rPr>
          <w:rFonts w:asciiTheme="majorHAnsi" w:hAnsiTheme="majorHAnsi" w:cstheme="majorHAnsi"/>
          <w:bCs/>
          <w:szCs w:val="24"/>
        </w:rPr>
        <w:t>. The total number of mechanistic associations is printed at the end of each bar, ranging from 2 (Elicit Alert) to 6,452 (Rodrigues et al. 2025).</w:t>
      </w:r>
    </w:p>
    <w:sectPr w:rsidR="00A92B80" w:rsidRPr="00CD1CF5" w:rsidSect="007342FF">
      <w:pgSz w:w="11907" w:h="16840"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31A4D" w14:textId="77777777" w:rsidR="00C453C4" w:rsidRDefault="00C453C4">
      <w:pPr>
        <w:spacing w:after="0" w:line="240" w:lineRule="auto"/>
      </w:pPr>
      <w:r>
        <w:separator/>
      </w:r>
    </w:p>
  </w:endnote>
  <w:endnote w:type="continuationSeparator" w:id="0">
    <w:p w14:paraId="4F9212C8" w14:textId="77777777" w:rsidR="00C453C4" w:rsidRDefault="00C4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E3F1" w14:textId="77777777" w:rsidR="00C453C4" w:rsidRDefault="00C453C4">
      <w:pPr>
        <w:spacing w:after="0" w:line="240" w:lineRule="auto"/>
      </w:pPr>
      <w:r>
        <w:separator/>
      </w:r>
    </w:p>
  </w:footnote>
  <w:footnote w:type="continuationSeparator" w:id="0">
    <w:p w14:paraId="7DF389F2" w14:textId="77777777" w:rsidR="00C453C4" w:rsidRDefault="00C453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7B694D0E" w14:textId="77777777" w:rsidR="00784529" w:rsidRDefault="00784529">
        <w:pPr>
          <w:pStyle w:val="Cabealho"/>
          <w:jc w:val="right"/>
        </w:pPr>
        <w:r>
          <w:fldChar w:fldCharType="begin"/>
        </w:r>
        <w:r>
          <w:instrText>PAGE   \* MERGEFORMAT</w:instrText>
        </w:r>
        <w:r>
          <w:fldChar w:fldCharType="separate"/>
        </w:r>
        <w:r>
          <w:rPr>
            <w:lang w:val="pt-BR"/>
          </w:rPr>
          <w:t>2</w:t>
        </w:r>
        <w:r>
          <w:fldChar w:fldCharType="end"/>
        </w:r>
      </w:p>
    </w:sdtContent>
  </w:sdt>
  <w:p w14:paraId="11BE1C7B" w14:textId="77777777" w:rsidR="00784529" w:rsidRDefault="0078452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75617929">
    <w:abstractNumId w:val="8"/>
  </w:num>
  <w:num w:numId="2" w16cid:durableId="149488102">
    <w:abstractNumId w:val="6"/>
  </w:num>
  <w:num w:numId="3" w16cid:durableId="842234759">
    <w:abstractNumId w:val="5"/>
  </w:num>
  <w:num w:numId="4" w16cid:durableId="2054690051">
    <w:abstractNumId w:val="4"/>
  </w:num>
  <w:num w:numId="5" w16cid:durableId="38944216">
    <w:abstractNumId w:val="7"/>
  </w:num>
  <w:num w:numId="6" w16cid:durableId="1299528288">
    <w:abstractNumId w:val="3"/>
  </w:num>
  <w:num w:numId="7" w16cid:durableId="662707529">
    <w:abstractNumId w:val="2"/>
  </w:num>
  <w:num w:numId="8" w16cid:durableId="154613902">
    <w:abstractNumId w:val="1"/>
  </w:num>
  <w:num w:numId="9" w16cid:durableId="146146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K3tDAxNDUzMTOxNDZS0lEKTi0uzszPAykwqQUAkM0SJiwAAAA="/>
  </w:docVars>
  <w:rsids>
    <w:rsidRoot w:val="00B47730"/>
    <w:rsid w:val="00034616"/>
    <w:rsid w:val="000357C8"/>
    <w:rsid w:val="0006063C"/>
    <w:rsid w:val="000D6250"/>
    <w:rsid w:val="001069E6"/>
    <w:rsid w:val="0015074B"/>
    <w:rsid w:val="001934C5"/>
    <w:rsid w:val="0029639D"/>
    <w:rsid w:val="00326F90"/>
    <w:rsid w:val="00380B78"/>
    <w:rsid w:val="003F1EE0"/>
    <w:rsid w:val="00481A07"/>
    <w:rsid w:val="004B6A35"/>
    <w:rsid w:val="004C109D"/>
    <w:rsid w:val="004C3044"/>
    <w:rsid w:val="00511694"/>
    <w:rsid w:val="00606BC5"/>
    <w:rsid w:val="00654118"/>
    <w:rsid w:val="00670EE4"/>
    <w:rsid w:val="0070721A"/>
    <w:rsid w:val="007342FF"/>
    <w:rsid w:val="00784529"/>
    <w:rsid w:val="00882747"/>
    <w:rsid w:val="00894240"/>
    <w:rsid w:val="00896322"/>
    <w:rsid w:val="008C332D"/>
    <w:rsid w:val="00906CAC"/>
    <w:rsid w:val="00927094"/>
    <w:rsid w:val="00936D63"/>
    <w:rsid w:val="009579BE"/>
    <w:rsid w:val="00A92B80"/>
    <w:rsid w:val="00AA1D8D"/>
    <w:rsid w:val="00B33DA8"/>
    <w:rsid w:val="00B47730"/>
    <w:rsid w:val="00BB22A7"/>
    <w:rsid w:val="00C453C4"/>
    <w:rsid w:val="00C829C4"/>
    <w:rsid w:val="00CB0664"/>
    <w:rsid w:val="00CB14F3"/>
    <w:rsid w:val="00CD1CF5"/>
    <w:rsid w:val="00CD26F8"/>
    <w:rsid w:val="00D40D65"/>
    <w:rsid w:val="00D91281"/>
    <w:rsid w:val="00DB4E22"/>
    <w:rsid w:val="00DC66DC"/>
    <w:rsid w:val="00F3016F"/>
    <w:rsid w:val="00FA32CA"/>
    <w:rsid w:val="00FC693F"/>
    <w:rsid w:val="00FE7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BBD7F"/>
  <w14:defaultImageDpi w14:val="330"/>
  <w15:docId w15:val="{0903DE4A-ADD7-44A5-A213-DA34FA8D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845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ique@uenf.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quique@uenf.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goralmeida199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ictor94santos.lopes@gmail.com" TargetMode="External"/><Relationship Id="rId4" Type="http://schemas.openxmlformats.org/officeDocument/2006/relationships/settings" Target="settings.xml"/><Relationship Id="rId9" Type="http://schemas.openxmlformats.org/officeDocument/2006/relationships/hyperlink" Target="mailto:souza.ers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8425</Words>
  <Characters>46338</Characters>
  <Application>Microsoft Office Word</Application>
  <DocSecurity>0</DocSecurity>
  <Lines>386</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Medina-Acosta</cp:lastModifiedBy>
  <cp:revision>21</cp:revision>
  <dcterms:created xsi:type="dcterms:W3CDTF">2013-12-23T23:15:00Z</dcterms:created>
  <dcterms:modified xsi:type="dcterms:W3CDTF">2026-09-26T00:12:00Z</dcterms:modified>
  <cp:category/>
</cp:coreProperties>
</file>