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8D5" w14:textId="77777777"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460952B9" w14:textId="77777777" w:rsidR="00784529" w:rsidRPr="00CD1CF5" w:rsidRDefault="00784529" w:rsidP="00CD1CF5">
      <w:pPr>
        <w:pStyle w:val="Ttulo1"/>
        <w:spacing w:before="0" w:line="240" w:lineRule="auto"/>
        <w:rPr>
          <w:rFonts w:cstheme="majorHAnsi"/>
          <w:sz w:val="24"/>
          <w:szCs w:val="24"/>
        </w:rPr>
      </w:pPr>
    </w:p>
    <w:p w14:paraId="6EB759E6"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0B00AC77" w14:textId="77777777" w:rsidR="00784529" w:rsidRPr="00CD1CF5" w:rsidRDefault="00784529" w:rsidP="00CD1CF5">
      <w:pPr>
        <w:spacing w:after="0" w:line="240" w:lineRule="auto"/>
        <w:rPr>
          <w:rFonts w:asciiTheme="majorHAnsi" w:hAnsiTheme="majorHAnsi" w:cstheme="majorHAnsi"/>
          <w:b/>
          <w:bCs/>
          <w:szCs w:val="24"/>
        </w:rPr>
      </w:pPr>
    </w:p>
    <w:p w14:paraId="33E517E4"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76D2445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7B93C3FE" w14:textId="77777777" w:rsidR="00784529" w:rsidRPr="00CD1CF5" w:rsidRDefault="00784529" w:rsidP="00CD1CF5">
      <w:pPr>
        <w:spacing w:after="0" w:line="240" w:lineRule="auto"/>
        <w:rPr>
          <w:rFonts w:asciiTheme="majorHAnsi" w:hAnsiTheme="majorHAnsi" w:cstheme="majorHAnsi"/>
          <w:szCs w:val="24"/>
        </w:rPr>
      </w:pPr>
    </w:p>
    <w:p w14:paraId="6ED2EF1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2D2C37E1" w14:textId="77777777" w:rsidR="00784529" w:rsidRPr="00CD1CF5" w:rsidRDefault="00784529" w:rsidP="00CD1CF5">
      <w:pPr>
        <w:spacing w:after="0" w:line="240" w:lineRule="auto"/>
        <w:rPr>
          <w:rFonts w:asciiTheme="majorHAnsi" w:hAnsiTheme="majorHAnsi" w:cstheme="majorHAnsi"/>
          <w:szCs w:val="24"/>
          <w:lang w:val="pt-BR"/>
        </w:rPr>
      </w:pPr>
    </w:p>
    <w:p w14:paraId="14686E76"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05624F6E" w14:textId="77777777" w:rsidR="00784529" w:rsidRPr="00CD1CF5" w:rsidRDefault="00784529" w:rsidP="00CD1CF5">
      <w:pPr>
        <w:spacing w:after="0" w:line="240" w:lineRule="auto"/>
        <w:rPr>
          <w:rFonts w:asciiTheme="majorHAnsi" w:hAnsiTheme="majorHAnsi" w:cstheme="majorHAnsi"/>
          <w:szCs w:val="24"/>
          <w:lang w:val="pt-BR"/>
        </w:rPr>
      </w:pPr>
    </w:p>
    <w:p w14:paraId="278DE90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A31A8FB" w14:textId="77777777" w:rsidR="00784529" w:rsidRPr="00CD1CF5" w:rsidRDefault="00784529" w:rsidP="00CD1CF5">
      <w:pPr>
        <w:spacing w:after="0" w:line="240" w:lineRule="auto"/>
        <w:rPr>
          <w:rFonts w:asciiTheme="majorHAnsi" w:hAnsiTheme="majorHAnsi" w:cstheme="majorHAnsi"/>
          <w:szCs w:val="24"/>
          <w:lang w:val="pt-BR"/>
        </w:rPr>
      </w:pPr>
    </w:p>
    <w:p w14:paraId="2E2C6D3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7965B9A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4E8F449B"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6947D688"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03FE12A6"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451E2BB8" w14:textId="77777777" w:rsidR="00784529" w:rsidRPr="00CD1CF5" w:rsidRDefault="00784529" w:rsidP="00CD1CF5">
      <w:pPr>
        <w:spacing w:after="0" w:line="240" w:lineRule="auto"/>
        <w:rPr>
          <w:rFonts w:asciiTheme="majorHAnsi" w:hAnsiTheme="majorHAnsi" w:cstheme="majorHAnsi"/>
          <w:szCs w:val="24"/>
        </w:rPr>
      </w:pPr>
    </w:p>
    <w:p w14:paraId="317FFB46"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15D78692"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0852563A" w14:textId="77777777" w:rsidR="00BB22A7" w:rsidRPr="00CD1CF5" w:rsidRDefault="00BB22A7" w:rsidP="00CD1CF5">
      <w:pPr>
        <w:pStyle w:val="Ttulo1"/>
        <w:spacing w:before="0" w:line="240" w:lineRule="auto"/>
        <w:rPr>
          <w:rFonts w:cstheme="majorHAnsi"/>
          <w:sz w:val="24"/>
          <w:szCs w:val="24"/>
        </w:rPr>
      </w:pPr>
    </w:p>
    <w:p w14:paraId="59C2919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185903C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9F20D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45FCFA8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1523359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02CC2F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6E51050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353A0E4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F42573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7F19A7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1645AD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0A122A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75F1D0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58D55D4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0C6866D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w:t>
      </w:r>
      <w:r w:rsidRPr="00CD1CF5">
        <w:rPr>
          <w:rFonts w:asciiTheme="majorHAnsi" w:hAnsiTheme="majorHAnsi" w:cstheme="majorHAnsi"/>
          <w:color w:val="auto"/>
          <w:szCs w:val="24"/>
        </w:rPr>
        <w:t xml:space="preserve">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w:t>
      </w:r>
      <w:r w:rsidRPr="00CD1CF5">
        <w:rPr>
          <w:rFonts w:asciiTheme="majorHAnsi" w:hAnsiTheme="majorHAnsi" w:cstheme="majorHAnsi"/>
          <w:color w:val="auto"/>
          <w:szCs w:val="24"/>
        </w:rPr>
        <w:lastRenderedPageBreak/>
        <w:t>cell-type-specific and differentiation-associated phenomena); L5 (generic/umbrella/legacy/taxon/emerging).</w:t>
      </w:r>
    </w:p>
    <w:p w14:paraId="1C3E8EE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G0–G6.</w:t>
      </w:r>
      <w:r w:rsidRPr="00CD1CF5">
        <w:rPr>
          <w:rFonts w:asciiTheme="majorHAnsi" w:hAnsiTheme="majorHAnsi" w:cstheme="majorHAnsi"/>
          <w:color w:val="auto"/>
          <w:szCs w:val="24"/>
        </w:rPr>
        <w:t xml:space="preserve"> G0 whole-cell death; G1 identifiable causal machinery (obligatory for L1); G2 functional necessity and distinguishability (obligatory for L1); G3 supportive phenotype/trigger; G4 published naming/provenance; G5 independent replication (defines maturity); G6 species scope. Naming alone (G4) is not evidence of mechanistic independence.</w:t>
      </w:r>
    </w:p>
    <w:p w14:paraId="26FD790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6519E3F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2D4AE7A0"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DA4B2C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226A50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639E6BA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4F93DD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6A0763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04E389E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282F054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EE9D613"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5BC65E9B"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642859F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7B113E82" w14:textId="77777777" w:rsidR="00DB4E22" w:rsidRPr="00CD1CF5" w:rsidRDefault="00DB4E22" w:rsidP="00CD1CF5">
      <w:pPr>
        <w:pStyle w:val="Ttulo2"/>
        <w:spacing w:before="0" w:line="240" w:lineRule="auto"/>
        <w:rPr>
          <w:rFonts w:cstheme="majorHAnsi"/>
          <w:szCs w:val="24"/>
        </w:rPr>
      </w:pPr>
    </w:p>
    <w:p w14:paraId="5F980E3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676734A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7D5C5D4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5B73993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7CC9381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4E794F73" w14:textId="77777777" w:rsidR="00DB4E22" w:rsidRPr="00CD1CF5" w:rsidRDefault="00DB4E22" w:rsidP="00CD1CF5">
      <w:pPr>
        <w:spacing w:after="0" w:line="240" w:lineRule="auto"/>
        <w:rPr>
          <w:rFonts w:asciiTheme="majorHAnsi" w:hAnsiTheme="majorHAnsi" w:cstheme="majorHAnsi"/>
          <w:szCs w:val="24"/>
        </w:rPr>
      </w:pPr>
    </w:p>
    <w:p w14:paraId="1EE9D61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0BC78FCC" w14:textId="77777777" w:rsidR="00DB4E22" w:rsidRPr="00CD1CF5" w:rsidRDefault="00DB4E22" w:rsidP="00CD1CF5">
      <w:pPr>
        <w:spacing w:after="0" w:line="240" w:lineRule="auto"/>
        <w:rPr>
          <w:rFonts w:asciiTheme="majorHAnsi" w:hAnsiTheme="majorHAnsi" w:cstheme="majorHAnsi"/>
          <w:szCs w:val="24"/>
        </w:rPr>
      </w:pPr>
    </w:p>
    <w:p w14:paraId="01E42B4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295BFB30" w14:textId="77777777" w:rsidR="00DB4E22" w:rsidRPr="00CD1CF5" w:rsidRDefault="00DB4E22" w:rsidP="00CD1CF5">
      <w:pPr>
        <w:spacing w:after="0" w:line="240" w:lineRule="auto"/>
        <w:rPr>
          <w:rFonts w:asciiTheme="majorHAnsi" w:hAnsiTheme="majorHAnsi" w:cstheme="majorHAnsi"/>
          <w:szCs w:val="24"/>
        </w:rPr>
      </w:pPr>
    </w:p>
    <w:p w14:paraId="48C0181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0C69D972" w14:textId="77777777" w:rsidR="00DB4E22" w:rsidRPr="00CD1CF5" w:rsidRDefault="00DB4E22" w:rsidP="00CD1CF5">
      <w:pPr>
        <w:pStyle w:val="Ttulo2"/>
        <w:spacing w:before="0" w:line="240" w:lineRule="auto"/>
        <w:rPr>
          <w:rFonts w:cstheme="majorHAnsi"/>
          <w:szCs w:val="24"/>
        </w:rPr>
      </w:pPr>
    </w:p>
    <w:p w14:paraId="53C793C6"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2A7CF6F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171B01A7" w14:textId="77777777" w:rsidR="00784529" w:rsidRPr="00CD1CF5" w:rsidRDefault="00784529" w:rsidP="00CD1CF5">
      <w:pPr>
        <w:spacing w:after="0" w:line="240" w:lineRule="auto"/>
        <w:rPr>
          <w:rFonts w:asciiTheme="majorHAnsi" w:hAnsiTheme="majorHAnsi" w:cstheme="majorHAnsi"/>
          <w:szCs w:val="24"/>
        </w:rPr>
      </w:pPr>
    </w:p>
    <w:p w14:paraId="021B25AF"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71853E8A"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15F0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C2748B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5A1D75A9"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737C4CA"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60FE5B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BD27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3690CFF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6C86AB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056DD12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58ED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F8DCC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1E3B19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5C3B4395"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689C8D8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33B1613"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F4733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59814B8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503C8D3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E02F9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12C3A95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CA9EF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6441F95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2078FF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072ADF42"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83524C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7452C1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33B8C63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5298383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34B17DD5"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5443F0B6"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0BC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67D5109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73EB6924"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292D91ED"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3BB2DBF0"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76581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01F8D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65874B5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1261597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7939E71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AC639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0B76B803"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647DF81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4FA49D7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4AA95765"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48AF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5535207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22C630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2BDFFAE8"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5D8A919C" w14:textId="77777777" w:rsidR="00784529" w:rsidRPr="00CD1CF5" w:rsidRDefault="00784529" w:rsidP="00CD1CF5">
      <w:pPr>
        <w:pStyle w:val="Ttulo2"/>
        <w:spacing w:before="0" w:line="240" w:lineRule="auto"/>
        <w:rPr>
          <w:rFonts w:cstheme="majorHAnsi"/>
          <w:szCs w:val="24"/>
        </w:rPr>
      </w:pPr>
    </w:p>
    <w:p w14:paraId="2800F84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4842414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30CFB13D" w14:textId="77777777" w:rsidR="00DB4E22" w:rsidRPr="00CD1CF5" w:rsidRDefault="00DB4E22" w:rsidP="00CD1CF5">
      <w:pPr>
        <w:pStyle w:val="Ttulo2"/>
        <w:spacing w:before="0" w:line="240" w:lineRule="auto"/>
        <w:rPr>
          <w:rFonts w:cstheme="majorHAnsi"/>
          <w:szCs w:val="24"/>
        </w:rPr>
      </w:pPr>
    </w:p>
    <w:p w14:paraId="2ACF469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CD3784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07BB0854" w14:textId="77777777" w:rsidR="00DB4E22" w:rsidRPr="00CD1CF5" w:rsidRDefault="00DB4E22" w:rsidP="00CD1CF5">
      <w:pPr>
        <w:pStyle w:val="Ttulo2"/>
        <w:spacing w:before="0" w:line="240" w:lineRule="auto"/>
        <w:rPr>
          <w:rFonts w:cstheme="majorHAnsi"/>
          <w:szCs w:val="24"/>
        </w:rPr>
      </w:pPr>
    </w:p>
    <w:p w14:paraId="2D3B36CA"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53B1A6A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6153CC4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66D1B289" w14:textId="77777777" w:rsidR="00DB4E22" w:rsidRPr="00CD1CF5" w:rsidRDefault="00DB4E22" w:rsidP="00CD1CF5">
      <w:pPr>
        <w:pStyle w:val="Ttulo1"/>
        <w:spacing w:before="0" w:line="240" w:lineRule="auto"/>
        <w:rPr>
          <w:rFonts w:cstheme="majorHAnsi"/>
          <w:sz w:val="24"/>
          <w:szCs w:val="24"/>
        </w:rPr>
      </w:pPr>
    </w:p>
    <w:p w14:paraId="15BB28AF"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48147F2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55F53EF" w14:textId="77777777" w:rsidR="00DB4E22" w:rsidRPr="00CD1CF5" w:rsidRDefault="00DB4E22" w:rsidP="00CD1CF5">
      <w:pPr>
        <w:pStyle w:val="Ttulo2"/>
        <w:spacing w:before="0" w:line="240" w:lineRule="auto"/>
        <w:rPr>
          <w:rFonts w:cstheme="majorHAnsi"/>
          <w:szCs w:val="24"/>
        </w:rPr>
      </w:pPr>
    </w:p>
    <w:p w14:paraId="4523E452"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CFAF83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1311AC21" w14:textId="77777777" w:rsidR="00DB4E22" w:rsidRPr="00CD1CF5" w:rsidRDefault="00DB4E22" w:rsidP="00CD1CF5">
      <w:pPr>
        <w:pStyle w:val="Ttulo2"/>
        <w:spacing w:before="0" w:line="240" w:lineRule="auto"/>
        <w:rPr>
          <w:rFonts w:cstheme="majorHAnsi"/>
          <w:szCs w:val="24"/>
        </w:rPr>
      </w:pPr>
    </w:p>
    <w:p w14:paraId="28052669"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689F5B5D"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4480FB17"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1B08710"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2D884F"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24D3083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4EEE93FF"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3066EC0D"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A3A17"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40D376E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B860B2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2DBC6DF9"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7A857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325FF34A"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2605207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30D3A806" w14:textId="77777777" w:rsidR="00DB4E22" w:rsidRPr="00CD1CF5" w:rsidRDefault="00DB4E22" w:rsidP="00CD1CF5">
      <w:pPr>
        <w:spacing w:after="0" w:line="240" w:lineRule="auto"/>
        <w:rPr>
          <w:rFonts w:asciiTheme="majorHAnsi" w:hAnsiTheme="majorHAnsi" w:cstheme="majorHAnsi"/>
          <w:szCs w:val="24"/>
        </w:rPr>
      </w:pPr>
    </w:p>
    <w:p w14:paraId="42E1BB5B" w14:textId="77777777" w:rsidR="00BB22A7" w:rsidRPr="00CD1CF5" w:rsidRDefault="00BB22A7" w:rsidP="00CD1CF5">
      <w:pPr>
        <w:pStyle w:val="Ttulo1"/>
        <w:spacing w:before="0" w:line="240" w:lineRule="auto"/>
        <w:rPr>
          <w:rFonts w:cstheme="majorHAnsi"/>
          <w:sz w:val="24"/>
          <w:szCs w:val="24"/>
        </w:rPr>
      </w:pPr>
    </w:p>
    <w:p w14:paraId="68DD6F5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12056248"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39819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2D14706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0429A29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4C4F865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21E2CC9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14CFB425"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F3EA98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21F9D7A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08D35CE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2FA053C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34BAB9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7A76FCB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41CA9D8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150A06C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3CB3E09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5BBC76F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82DE2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4359848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5C3F18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3. </w:t>
      </w:r>
      <w:r w:rsidRPr="00CD1CF5">
        <w:rPr>
          <w:rFonts w:asciiTheme="majorHAnsi" w:hAnsiTheme="majorHAnsi" w:cstheme="majorHAnsi"/>
          <w:b/>
          <w:color w:val="auto"/>
          <w:szCs w:val="24"/>
        </w:rPr>
        <w:t>Bona fide RCD modality</w:t>
      </w:r>
      <w:r w:rsidRPr="00CD1CF5">
        <w:rPr>
          <w:rFonts w:asciiTheme="majorHAnsi" w:hAnsiTheme="majorHAnsi" w:cstheme="majorHAnsi"/>
          <w:color w:val="auto"/>
          <w:szCs w:val="24"/>
        </w:rPr>
        <w:t xml:space="preserve"> — an entity admitted to level L1 through the RCDome G0–G6 hard-gate framework (identifiable causal machinery and functional necessity/distinguishability). In the current adjudicated ontology, </w:t>
      </w:r>
      <w:r w:rsidRPr="00CD1CF5">
        <w:rPr>
          <w:rFonts w:asciiTheme="majorHAnsi" w:hAnsiTheme="majorHAnsi" w:cstheme="majorHAnsi"/>
          <w:b/>
          <w:color w:val="auto"/>
          <w:szCs w:val="24"/>
        </w:rPr>
        <w:t>16 of the 53</w:t>
      </w:r>
      <w:r w:rsidRPr="00CD1CF5">
        <w:rPr>
          <w:rFonts w:asciiTheme="majorHAnsi" w:hAnsiTheme="majorHAnsi" w:cstheme="majorHAnsi"/>
          <w:color w:val="auto"/>
          <w:szCs w:val="24"/>
        </w:rPr>
        <w:t xml:space="preserve"> entities satisfy this criterion.</w:t>
      </w:r>
    </w:p>
    <w:p w14:paraId="7B8A63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072152A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16 relationship</w:t>
      </w:r>
    </w:p>
    <w:p w14:paraId="246BC5D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5591199A"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lastRenderedPageBreak/>
        <w:t xml:space="preserve">• </w:t>
      </w:r>
      <w:r w:rsidRPr="00CD1CF5">
        <w:rPr>
          <w:rFonts w:asciiTheme="majorHAnsi" w:hAnsiTheme="majorHAnsi" w:cstheme="majorHAnsi"/>
          <w:b/>
          <w:color w:val="auto"/>
          <w:szCs w:val="24"/>
          <w:lang w:val="fr-029"/>
        </w:rPr>
        <w:t>16</w:t>
      </w:r>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bona</w:t>
      </w:r>
      <w:proofErr w:type="spellEnd"/>
      <w:r w:rsidRPr="00CD1CF5">
        <w:rPr>
          <w:rFonts w:asciiTheme="majorHAnsi" w:hAnsiTheme="majorHAnsi" w:cstheme="majorHAnsi"/>
          <w:color w:val="auto"/>
          <w:szCs w:val="24"/>
          <w:lang w:val="fr-029"/>
        </w:rPr>
        <w:t xml:space="preserve"> </w:t>
      </w:r>
      <w:proofErr w:type="spellStart"/>
      <w:r w:rsidRPr="00CD1CF5">
        <w:rPr>
          <w:rFonts w:asciiTheme="majorHAnsi" w:hAnsiTheme="majorHAnsi" w:cstheme="majorHAnsi"/>
          <w:color w:val="auto"/>
          <w:szCs w:val="24"/>
          <w:lang w:val="fr-029"/>
        </w:rPr>
        <w:t>fide</w:t>
      </w:r>
      <w:proofErr w:type="spellEnd"/>
      <w:r w:rsidRPr="00CD1CF5">
        <w:rPr>
          <w:rFonts w:asciiTheme="majorHAnsi" w:hAnsiTheme="majorHAnsi" w:cstheme="majorHAnsi"/>
          <w:color w:val="auto"/>
          <w:szCs w:val="24"/>
          <w:lang w:val="fr-029"/>
        </w:rPr>
        <w:t xml:space="preserve"> RCD </w:t>
      </w:r>
      <w:proofErr w:type="spellStart"/>
      <w:r w:rsidRPr="00CD1CF5">
        <w:rPr>
          <w:rFonts w:asciiTheme="majorHAnsi" w:hAnsiTheme="majorHAnsi" w:cstheme="majorHAnsi"/>
          <w:color w:val="auto"/>
          <w:szCs w:val="24"/>
          <w:lang w:val="fr-029"/>
        </w:rPr>
        <w:t>modalities</w:t>
      </w:r>
      <w:proofErr w:type="spellEnd"/>
      <w:r w:rsidRPr="00CD1CF5">
        <w:rPr>
          <w:rFonts w:asciiTheme="majorHAnsi" w:hAnsiTheme="majorHAnsi" w:cstheme="majorHAnsi"/>
          <w:color w:val="auto"/>
          <w:szCs w:val="24"/>
          <w:lang w:val="fr-029"/>
        </w:rPr>
        <w:t xml:space="preserve"> (L1);</w:t>
      </w:r>
    </w:p>
    <w:p w14:paraId="3A8FFCA4" w14:textId="77777777" w:rsidR="0070721A" w:rsidRDefault="00000000">
      <w:r>
        <w:t>The relationship between the 16 L1 modalities and the NCCD’s 20 canonical definitions is assessed in Methods (“Relationship to the NCCD canonical ontology”).</w:t>
      </w:r>
    </w:p>
    <w:p w14:paraId="40DBF54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5</w:t>
      </w:r>
      <w:r w:rsidRPr="00CD1CF5">
        <w:rPr>
          <w:rFonts w:asciiTheme="majorHAnsi" w:hAnsiTheme="majorHAnsi" w:cstheme="majorHAnsi"/>
          <w:color w:val="auto"/>
          <w:szCs w:val="24"/>
        </w:rPr>
        <w:t xml:space="preserve"> subtypes (L2);</w:t>
      </w:r>
    </w:p>
    <w:p w14:paraId="515E36A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2663A0E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11</w:t>
      </w:r>
      <w:r w:rsidRPr="00CD1CF5">
        <w:rPr>
          <w:rFonts w:asciiTheme="majorHAnsi" w:hAnsiTheme="majorHAnsi" w:cstheme="majorHAnsi"/>
          <w:color w:val="auto"/>
          <w:szCs w:val="24"/>
        </w:rPr>
        <w:t xml:space="preserve"> functional/contextual categories (L4);</w:t>
      </w:r>
    </w:p>
    <w:p w14:paraId="5720778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19</w:t>
      </w:r>
      <w:r w:rsidRPr="00CD1CF5">
        <w:rPr>
          <w:rFonts w:asciiTheme="majorHAnsi" w:hAnsiTheme="majorHAnsi" w:cstheme="majorHAnsi"/>
          <w:color w:val="auto"/>
          <w:szCs w:val="24"/>
        </w:rPr>
        <w:t xml:space="preserve"> generic/umbrella/legacy/taxon/emerging concepts (L5).</w:t>
      </w:r>
    </w:p>
    <w:p w14:paraId="1396B6C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Thus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16 L1 entities are described as bona fide RCD modalities.</w:t>
      </w:r>
    </w:p>
    <w:p w14:paraId="17EE1136"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23170B3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4615816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421289D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5C3EB7C6" w14:textId="77777777" w:rsidR="00BB22A7" w:rsidRPr="00CD1CF5" w:rsidRDefault="00BB22A7" w:rsidP="00CD1CF5">
      <w:pPr>
        <w:pStyle w:val="Ttulo1"/>
        <w:spacing w:before="0" w:line="240" w:lineRule="auto"/>
        <w:rPr>
          <w:rFonts w:cstheme="majorHAnsi"/>
          <w:sz w:val="24"/>
          <w:szCs w:val="24"/>
        </w:rPr>
      </w:pPr>
    </w:p>
    <w:p w14:paraId="6D1D0962"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0DFDE85F"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60C82A0D" w14:textId="77777777" w:rsidR="00BB22A7" w:rsidRPr="00CD1CF5" w:rsidRDefault="00BB22A7" w:rsidP="00CD1CF5">
      <w:pPr>
        <w:spacing w:after="0" w:line="240" w:lineRule="auto"/>
        <w:rPr>
          <w:rFonts w:asciiTheme="majorHAnsi" w:hAnsiTheme="majorHAnsi" w:cstheme="majorHAnsi"/>
          <w:szCs w:val="24"/>
        </w:rPr>
      </w:pPr>
    </w:p>
    <w:p w14:paraId="7A020EA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1797347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F85BD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41E8B5E7"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14610BD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C5638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587C3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04E06A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0FBF0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792112F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348DB44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5E32B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8CBFBF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5DF27B9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4AE70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38EF24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3A7C4738"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44568BF7"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C4F06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3A46AC8E"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333D777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446E6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274C3FE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57EF13E7"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1DAAB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052AD9B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7143D0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DB574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3EAF97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78F303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94511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41F8982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1DEBD9BF"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BF53C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0D451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420288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5FD021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FCD9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6D43DF0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2F30BC7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A5055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2BCB3EB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(phase2b_audit_report.json)</w:t>
            </w:r>
          </w:p>
        </w:tc>
      </w:tr>
      <w:tr w:rsidR="00BB22A7" w:rsidRPr="00CD1CF5" w14:paraId="2BDBA9A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B8CA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650FD7E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7585BC1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7CC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7488E3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268D707C"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1956A301"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10C7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5DE79BF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5CB9F62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B81C2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511CE64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525D66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2B6BB4A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F97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4094E6EC"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346D21A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FDC7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BD3B90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59B09F77"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301B740"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280F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777AF47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377ECA0D"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DFDE4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2E6017D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1A2C53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A2AB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04E6829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18CAA13"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05E44C82"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655A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574B7C16"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5F3F24F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57DC0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A02F3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701D2D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792FF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08318DE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2A55778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F68B0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663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5AB07AE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33460C8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439B1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72A15BA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52B88B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15A8E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06676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27F60D8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C85A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7D32FBE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2571DAC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7ACAB3E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E2928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5E1C328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0B95BDC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6405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113A7B3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B72452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A9D679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539CA4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7549401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D4527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516D9DBD"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3BF2539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B8EF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2017610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7FFEEE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7C85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760BA68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50872A2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7C920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75FB9B7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6769AE91"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C69B8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2EC570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04A7A68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5AE1D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2595F36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2EABBF3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62057F2C"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D4643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2815A91D"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3962FEF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EC99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1AC2AC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230E5EBC"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DCC7E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21ED2E1A"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078740F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550A1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4E72071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3B0EDDF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D5343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10417A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D90D66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65E1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1385581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74CC876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7EE14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696086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6949661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7307D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09003D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3FDE4BF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088E880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4DA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110BB0E9"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C65D9C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06376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C888513"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6DC80C8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60AA1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96B207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4E69FDE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9483F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29738C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533EC8C2"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2AA890A5" w14:textId="77777777" w:rsidR="00BB22A7" w:rsidRPr="00CD1CF5" w:rsidRDefault="00BB22A7" w:rsidP="00CD1CF5">
      <w:pPr>
        <w:spacing w:after="0" w:line="240" w:lineRule="auto"/>
        <w:rPr>
          <w:rFonts w:asciiTheme="majorHAnsi" w:hAnsiTheme="majorHAnsi" w:cstheme="majorHAnsi"/>
          <w:szCs w:val="24"/>
        </w:rPr>
      </w:pPr>
    </w:p>
    <w:p w14:paraId="1FC1DF70" w14:textId="77777777" w:rsidR="00BB22A7" w:rsidRPr="00CD1CF5" w:rsidRDefault="00BB22A7" w:rsidP="00CD1CF5">
      <w:pPr>
        <w:spacing w:after="0" w:line="240" w:lineRule="auto"/>
        <w:rPr>
          <w:rFonts w:asciiTheme="majorHAnsi" w:hAnsiTheme="majorHAnsi" w:cstheme="majorHAnsi"/>
          <w:b/>
          <w:bCs/>
          <w:szCs w:val="24"/>
        </w:rPr>
      </w:pPr>
    </w:p>
    <w:p w14:paraId="6BA588D4"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487F0F3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4D78C2D2" w14:textId="77777777" w:rsidR="00DB4E22" w:rsidRPr="00CD1CF5" w:rsidRDefault="00DB4E22" w:rsidP="00CD1CF5">
      <w:pPr>
        <w:spacing w:after="0" w:line="240" w:lineRule="auto"/>
        <w:rPr>
          <w:rFonts w:asciiTheme="majorHAnsi" w:hAnsiTheme="majorHAnsi" w:cstheme="majorHAnsi"/>
          <w:b/>
          <w:bCs/>
          <w:szCs w:val="24"/>
        </w:rPr>
      </w:pPr>
    </w:p>
    <w:p w14:paraId="2CD6D17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482DF67A"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26558E06" w14:textId="77777777" w:rsidR="00654118" w:rsidRPr="00CD1CF5" w:rsidRDefault="00654118" w:rsidP="00CD1CF5">
      <w:pPr>
        <w:spacing w:after="0" w:line="240" w:lineRule="auto"/>
        <w:rPr>
          <w:rFonts w:asciiTheme="majorHAnsi" w:hAnsiTheme="majorHAnsi" w:cstheme="majorHAnsi"/>
          <w:szCs w:val="24"/>
        </w:rPr>
      </w:pPr>
    </w:p>
    <w:p w14:paraId="3B363EA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2B0DF7D7"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51E9B9E9" w14:textId="77777777" w:rsidR="00DB4E22" w:rsidRPr="00CD1CF5" w:rsidRDefault="00DB4E22" w:rsidP="00CD1CF5">
      <w:pPr>
        <w:spacing w:after="0" w:line="240" w:lineRule="auto"/>
        <w:rPr>
          <w:rFonts w:asciiTheme="majorHAnsi" w:hAnsiTheme="majorHAnsi" w:cstheme="majorHAnsi"/>
          <w:b/>
          <w:bCs/>
          <w:szCs w:val="24"/>
        </w:rPr>
      </w:pPr>
    </w:p>
    <w:p w14:paraId="0E8E1270"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7B6610A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1599B8D4" w14:textId="77777777" w:rsidR="00DB4E22" w:rsidRPr="00CD1CF5" w:rsidRDefault="00DB4E22" w:rsidP="00CD1CF5">
      <w:pPr>
        <w:spacing w:after="0" w:line="240" w:lineRule="auto"/>
        <w:rPr>
          <w:rFonts w:asciiTheme="majorHAnsi" w:hAnsiTheme="majorHAnsi" w:cstheme="majorHAnsi"/>
          <w:b/>
          <w:bCs/>
          <w:szCs w:val="24"/>
        </w:rPr>
      </w:pPr>
    </w:p>
    <w:p w14:paraId="45544EB1"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E5BC68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31DCD86E" w14:textId="77777777" w:rsidR="00DB4E22" w:rsidRPr="00CD1CF5" w:rsidRDefault="00DB4E22" w:rsidP="00CD1CF5">
      <w:pPr>
        <w:spacing w:after="0" w:line="240" w:lineRule="auto"/>
        <w:rPr>
          <w:rFonts w:asciiTheme="majorHAnsi" w:hAnsiTheme="majorHAnsi" w:cstheme="majorHAnsi"/>
          <w:b/>
          <w:szCs w:val="24"/>
        </w:rPr>
      </w:pPr>
    </w:p>
    <w:p w14:paraId="0067B93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263886B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retrieves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6194BBE6" w14:textId="77777777" w:rsidR="00654118" w:rsidRPr="00CD1CF5" w:rsidRDefault="00654118" w:rsidP="00CD1CF5">
      <w:pPr>
        <w:spacing w:after="0" w:line="240" w:lineRule="auto"/>
        <w:rPr>
          <w:rFonts w:asciiTheme="majorHAnsi" w:hAnsiTheme="majorHAnsi" w:cstheme="majorHAnsi"/>
          <w:szCs w:val="24"/>
        </w:rPr>
      </w:pPr>
    </w:p>
    <w:p w14:paraId="21F94F3B"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(zα+zβ)²·2·p̄·(1−p̄)/Δ² (zβ = 0.84); Wilson 95% CI lower bound for 100% observed n/(n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74615AC1" w14:textId="77777777" w:rsidR="00DB4E22" w:rsidRPr="00CD1CF5" w:rsidRDefault="00DB4E22" w:rsidP="00CD1CF5">
      <w:pPr>
        <w:spacing w:after="0" w:line="240" w:lineRule="auto"/>
        <w:rPr>
          <w:rFonts w:asciiTheme="majorHAnsi" w:hAnsiTheme="majorHAnsi" w:cstheme="majorHAnsi"/>
          <w:b/>
          <w:bCs/>
          <w:szCs w:val="24"/>
        </w:rPr>
      </w:pPr>
    </w:p>
    <w:p w14:paraId="55E39386"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169F6DCC"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7D43F715" w14:textId="77777777" w:rsidR="00654118" w:rsidRPr="00CD1CF5" w:rsidRDefault="00654118" w:rsidP="00CD1CF5">
      <w:pPr>
        <w:spacing w:after="0" w:line="240" w:lineRule="auto"/>
        <w:rPr>
          <w:rFonts w:asciiTheme="majorHAnsi" w:hAnsiTheme="majorHAnsi" w:cstheme="majorHAnsi"/>
          <w:szCs w:val="24"/>
        </w:rPr>
      </w:pPr>
    </w:p>
    <w:p w14:paraId="336AE7E0" w14:textId="77777777" w:rsidR="004C3044" w:rsidRDefault="00000000">
      <w:r>
        <w:rPr>
          <w:b/>
        </w:rPr>
        <w:t>Post-review regression benchmarks</w:t>
      </w:r>
    </w:p>
    <w:p w14:paraId="274E50F9" w14:textId="77777777" w:rsidR="004C3044" w:rsidRDefault="00000000">
      <w:r>
        <w:t>The Board and Q&amp;A were benchmarked on random, seed-reproducible samples of n = 100 gene–entity pairs or queries, with the exact binomial 95% confidence interval (Clopper–Pearson).</w:t>
      </w:r>
    </w:p>
    <w:p w14:paraId="028516B6"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46C4E4B6"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0A86F47D"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765E05C5"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p>
    <w:p w14:paraId="101056C6" w14:textId="5B2B4633"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5DDD9550" w14:textId="77777777" w:rsidR="00DB4E22" w:rsidRPr="00CD1CF5" w:rsidRDefault="00DB4E22" w:rsidP="00CD1CF5">
      <w:pPr>
        <w:pStyle w:val="Ttulo1"/>
        <w:spacing w:before="0" w:line="240" w:lineRule="auto"/>
        <w:rPr>
          <w:rFonts w:cstheme="majorHAnsi"/>
          <w:sz w:val="24"/>
          <w:szCs w:val="24"/>
        </w:rPr>
      </w:pPr>
    </w:p>
    <w:p w14:paraId="18B5FE6C"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8EE3F57" w14:textId="77777777" w:rsidR="00A92B8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S1. </w:t>
      </w:r>
      <w:r w:rsidRPr="00CD1CF5">
        <w:rPr>
          <w:rFonts w:asciiTheme="majorHAnsi" w:hAnsiTheme="majorHAnsi" w:cstheme="majorHAnsi"/>
          <w:bCs/>
          <w:szCs w:val="24"/>
        </w:rPr>
        <w:t>Database contribution and multi-database corroboration.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0700B8BD" w14:textId="77777777" w:rsidR="00FE7B70" w:rsidRPr="00CD1CF5" w:rsidRDefault="00FE7B70" w:rsidP="00CD1CF5">
      <w:pPr>
        <w:spacing w:after="0" w:line="240" w:lineRule="auto"/>
        <w:rPr>
          <w:rFonts w:asciiTheme="majorHAnsi" w:hAnsiTheme="majorHAnsi" w:cstheme="majorHAnsi"/>
          <w:szCs w:val="24"/>
        </w:rPr>
      </w:pPr>
    </w:p>
    <w:p w14:paraId="41BBCCC1"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 xml:space="preserve">Supplementary Figure S2. Mechanistic associations per source, stacked by RCD entity ontological level. </w:t>
      </w:r>
      <w:r w:rsidRPr="00FE7B70">
        <w:rPr>
          <w:rFonts w:asciiTheme="majorHAnsi" w:hAnsiTheme="majorHAnsi" w:cstheme="majorHAnsi"/>
          <w:bCs/>
          <w:szCs w:val="24"/>
        </w:rPr>
        <w:t>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4A90E" w14:textId="77777777" w:rsidR="00F3016F" w:rsidRDefault="00F3016F">
      <w:pPr>
        <w:spacing w:after="0" w:line="240" w:lineRule="auto"/>
      </w:pPr>
      <w:r>
        <w:separator/>
      </w:r>
    </w:p>
  </w:endnote>
  <w:endnote w:type="continuationSeparator" w:id="0">
    <w:p w14:paraId="74491F70" w14:textId="77777777" w:rsidR="00F3016F" w:rsidRDefault="00F301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D9FC5" w14:textId="77777777" w:rsidR="00F3016F" w:rsidRDefault="00F3016F">
      <w:pPr>
        <w:spacing w:after="0" w:line="240" w:lineRule="auto"/>
      </w:pPr>
      <w:r>
        <w:separator/>
      </w:r>
    </w:p>
  </w:footnote>
  <w:footnote w:type="continuationSeparator" w:id="0">
    <w:p w14:paraId="670173C0" w14:textId="77777777" w:rsidR="00F3016F" w:rsidRDefault="00F301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8A05F9A"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0B805331"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rgUAV1tTaSwAAAA="/>
  </w:docVars>
  <w:rsids>
    <w:rsidRoot w:val="00B47730"/>
    <w:rsid w:val="00034616"/>
    <w:rsid w:val="000357C8"/>
    <w:rsid w:val="0006063C"/>
    <w:rsid w:val="001069E6"/>
    <w:rsid w:val="0015074B"/>
    <w:rsid w:val="001934C5"/>
    <w:rsid w:val="0029639D"/>
    <w:rsid w:val="00326F90"/>
    <w:rsid w:val="00380B78"/>
    <w:rsid w:val="003F1EE0"/>
    <w:rsid w:val="00481A07"/>
    <w:rsid w:val="004B6A35"/>
    <w:rsid w:val="004C3044"/>
    <w:rsid w:val="00511694"/>
    <w:rsid w:val="00606BC5"/>
    <w:rsid w:val="00654118"/>
    <w:rsid w:val="00670EE4"/>
    <w:rsid w:val="0070721A"/>
    <w:rsid w:val="007342FF"/>
    <w:rsid w:val="00784529"/>
    <w:rsid w:val="00882747"/>
    <w:rsid w:val="00896322"/>
    <w:rsid w:val="00906CAC"/>
    <w:rsid w:val="00927094"/>
    <w:rsid w:val="009579BE"/>
    <w:rsid w:val="00A92B80"/>
    <w:rsid w:val="00AA1D8D"/>
    <w:rsid w:val="00B47730"/>
    <w:rsid w:val="00BB22A7"/>
    <w:rsid w:val="00CB0664"/>
    <w:rsid w:val="00CD1CF5"/>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04F30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14</Pages>
  <Words>4964</Words>
  <Characters>27308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15</cp:revision>
  <dcterms:created xsi:type="dcterms:W3CDTF">2013-12-23T23:15:00Z</dcterms:created>
  <dcterms:modified xsi:type="dcterms:W3CDTF">2026-09-19T13:32:00Z</dcterms:modified>
  <cp:category/>
</cp:coreProperties>
</file>