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C3 ("impact on cancer progression" → "impact on cell/tissue homeostasis"), and C6 ("clinical relevance" → "pathophysiological relevance"). The overall score follows the deterministic weighted formula S = 0.25·RS1 + 0.25·RS2 + 0.20·RS3 + 0.15·RS4 + 0.10·RS5 + 0.05·RS6,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MC1-MC5 criteria (G1 ~ MC1 machinery; G2 ~ MC5 modulation; G3 ~ MC2/MC3 trigger and morphology; G4 ~ MC4 naming). Entities passing G1 and G2 were classified hard_gate_status = L1-ELIGIBLE (19/53); the remainder were NOT-L1 (subtypes, triggers, umbrellas, morphology, contextual, and taxon-specific programs). The multi-optosis RS1-RS6 scoring remains an orthogonal ranking metric, not an admission gate. Independent replication (G5)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7–10, CT2 = 4–6, CT3 = 2–3, CT4 = 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G0–G6 hard-gate criteria for classification as bona fide RCD modalities. The 53 entities are organized into: 19 RCD modalities (bona fide cell death mechanisms with distinct molecular machinery, admitted through the G0-G6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