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6160B" w14:textId="77777777" w:rsidR="00925876" w:rsidRPr="009B500E" w:rsidRDefault="00921C18" w:rsidP="009B500E">
      <w:pPr>
        <w:pStyle w:val="Ttulo1"/>
        <w:spacing w:before="0" w:line="240" w:lineRule="auto"/>
        <w:rPr>
          <w:rFonts w:cstheme="majorHAnsi"/>
          <w:sz w:val="24"/>
          <w:szCs w:val="24"/>
        </w:rPr>
      </w:pPr>
      <w:r w:rsidRPr="009B500E">
        <w:rPr>
          <w:rFonts w:cstheme="majorHAnsi"/>
          <w:color w:val="000000"/>
          <w:sz w:val="24"/>
          <w:szCs w:val="24"/>
        </w:rPr>
        <w:t xml:space="preserve">RCDome: A Multi-Database </w:t>
      </w:r>
      <w:r w:rsidRPr="00777BD4">
        <w:rPr>
          <w:rFonts w:cstheme="majorHAnsi"/>
          <w:color w:val="EE0000"/>
          <w:sz w:val="24"/>
          <w:szCs w:val="24"/>
        </w:rPr>
        <w:t xml:space="preserve">Human Gene </w:t>
      </w:r>
      <w:r w:rsidRPr="009B500E">
        <w:rPr>
          <w:rFonts w:cstheme="majorHAnsi"/>
          <w:color w:val="000000"/>
          <w:sz w:val="24"/>
          <w:szCs w:val="24"/>
        </w:rPr>
        <w:t>Atlas of Regulated Cell Death</w:t>
      </w:r>
    </w:p>
    <w:p w14:paraId="40C88986" w14:textId="77777777" w:rsidR="00521B54" w:rsidRPr="009B500E" w:rsidRDefault="00521B54" w:rsidP="009B500E">
      <w:pPr>
        <w:spacing w:after="0" w:line="240" w:lineRule="auto"/>
        <w:rPr>
          <w:rFonts w:asciiTheme="majorHAnsi" w:hAnsiTheme="majorHAnsi" w:cstheme="majorHAnsi"/>
          <w:b/>
          <w:bCs/>
          <w:szCs w:val="24"/>
        </w:rPr>
      </w:pPr>
    </w:p>
    <w:p w14:paraId="6850B83D" w14:textId="031E9FDA"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Running title:</w:t>
      </w:r>
      <w:r w:rsidRPr="009B500E">
        <w:rPr>
          <w:rFonts w:asciiTheme="majorHAnsi" w:hAnsiTheme="majorHAnsi" w:cstheme="majorHAnsi"/>
          <w:szCs w:val="24"/>
        </w:rPr>
        <w:t xml:space="preserve"> RCDome:</w:t>
      </w:r>
      <w:r w:rsidR="002E2E0A">
        <w:rPr>
          <w:rFonts w:asciiTheme="majorHAnsi" w:hAnsiTheme="majorHAnsi" w:cstheme="majorHAnsi"/>
          <w:szCs w:val="24"/>
        </w:rPr>
        <w:t xml:space="preserve"> </w:t>
      </w:r>
      <w:r w:rsidRPr="009B500E">
        <w:rPr>
          <w:rFonts w:asciiTheme="majorHAnsi" w:hAnsiTheme="majorHAnsi" w:cstheme="majorHAnsi"/>
          <w:szCs w:val="24"/>
        </w:rPr>
        <w:t>Human RCD Gene Atlas</w:t>
      </w:r>
    </w:p>
    <w:p w14:paraId="7BB8DED6"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Keywords</w:t>
      </w:r>
      <w:r w:rsidRPr="009B500E">
        <w:rPr>
          <w:rFonts w:asciiTheme="majorHAnsi" w:hAnsiTheme="majorHAnsi" w:cstheme="majorHAnsi"/>
          <w:szCs w:val="24"/>
        </w:rPr>
        <w:t>: regulated cell death, human gene atlas, knowledge platform, multi-database integration, operational definitions, traceability</w:t>
      </w:r>
    </w:p>
    <w:p w14:paraId="7E49C068" w14:textId="77777777" w:rsidR="00637146" w:rsidRPr="009B500E" w:rsidRDefault="00637146" w:rsidP="009B500E">
      <w:pPr>
        <w:spacing w:after="0" w:line="240" w:lineRule="auto"/>
        <w:rPr>
          <w:rFonts w:asciiTheme="majorHAnsi" w:hAnsiTheme="majorHAnsi" w:cstheme="majorHAnsi"/>
          <w:szCs w:val="24"/>
        </w:rPr>
      </w:pPr>
    </w:p>
    <w:p w14:paraId="6E6761F8" w14:textId="77777777" w:rsidR="00925876" w:rsidRPr="009B500E" w:rsidRDefault="00637146" w:rsidP="009B500E">
      <w:pPr>
        <w:spacing w:after="0" w:line="240" w:lineRule="auto"/>
        <w:rPr>
          <w:rFonts w:asciiTheme="majorHAnsi" w:hAnsiTheme="majorHAnsi" w:cstheme="majorHAnsi"/>
          <w:szCs w:val="24"/>
          <w:lang w:val="pt-BR"/>
        </w:rPr>
      </w:pPr>
      <w:r w:rsidRPr="004A5E2F">
        <w:rPr>
          <w:lang w:val="pt-BR"/>
        </w:rPr>
        <w:t>Emanuell Rodrigues de Souza</w:t>
      </w:r>
      <w:r w:rsidRPr="00447C46">
        <w:rPr>
          <w:b/>
          <w:bCs/>
          <w:vertAlign w:val="superscript"/>
          <w:lang w:val="pt-BR"/>
        </w:rPr>
        <w:t>#</w:t>
      </w:r>
      <w:r w:rsidRPr="004A5E2F">
        <w:rPr>
          <w:lang w:val="pt-BR"/>
        </w:rPr>
        <w:t>, Victor dos Santos Lopes</w:t>
      </w:r>
      <w:r w:rsidRPr="00447C46">
        <w:rPr>
          <w:b/>
          <w:bCs/>
          <w:vertAlign w:val="superscript"/>
          <w:lang w:val="pt-BR"/>
        </w:rPr>
        <w:t>#</w:t>
      </w:r>
      <w:r w:rsidRPr="004A5E2F">
        <w:rPr>
          <w:lang w:val="pt-BR"/>
        </w:rPr>
        <w:t>, Higor Almeida Cordeiro Nogueira, and Enrique Medina-Acosta</w:t>
      </w:r>
      <w:r w:rsidRPr="00D116F4">
        <w:rPr>
          <w:b/>
          <w:bCs/>
          <w:vertAlign w:val="superscript"/>
          <w:lang w:val="pt-BR"/>
        </w:rPr>
        <w:t>*</w:t>
      </w:r>
    </w:p>
    <w:p w14:paraId="0F26619B" w14:textId="77777777" w:rsidR="00637146" w:rsidRPr="009B500E" w:rsidRDefault="00637146" w:rsidP="009B500E">
      <w:pPr>
        <w:spacing w:after="0" w:line="240" w:lineRule="auto"/>
        <w:rPr>
          <w:rFonts w:asciiTheme="majorHAnsi" w:hAnsiTheme="majorHAnsi" w:cstheme="majorHAnsi"/>
          <w:szCs w:val="24"/>
          <w:lang w:val="pt-BR"/>
        </w:rPr>
      </w:pPr>
    </w:p>
    <w:p w14:paraId="4E7B2A2F"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Laborat</w:t>
      </w:r>
      <w:r w:rsidR="00670D3F" w:rsidRPr="009B500E">
        <w:rPr>
          <w:rFonts w:asciiTheme="majorHAnsi" w:hAnsiTheme="majorHAnsi" w:cstheme="majorHAnsi"/>
          <w:szCs w:val="24"/>
          <w:lang w:val="pt-BR"/>
        </w:rPr>
        <w:t>ó</w:t>
      </w:r>
      <w:r w:rsidRPr="009B500E">
        <w:rPr>
          <w:rFonts w:asciiTheme="majorHAnsi" w:hAnsiTheme="majorHAnsi" w:cstheme="majorHAnsi"/>
          <w:szCs w:val="24"/>
          <w:lang w:val="pt-BR"/>
        </w:rPr>
        <w:t>rio de Biotecnologia, Centro de Bioci</w:t>
      </w:r>
      <w:r w:rsidR="00637146" w:rsidRPr="009B500E">
        <w:rPr>
          <w:rFonts w:asciiTheme="majorHAnsi" w:hAnsiTheme="majorHAnsi" w:cstheme="majorHAnsi"/>
          <w:szCs w:val="24"/>
          <w:lang w:val="pt-BR"/>
        </w:rPr>
        <w:t>ên</w:t>
      </w:r>
      <w:r w:rsidRPr="009B500E">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660E33B9" w14:textId="77777777" w:rsidR="00381A47" w:rsidRPr="009B500E" w:rsidRDefault="00381A47" w:rsidP="009B500E">
      <w:pPr>
        <w:spacing w:after="0" w:line="240" w:lineRule="auto"/>
        <w:rPr>
          <w:rFonts w:asciiTheme="majorHAnsi" w:hAnsiTheme="majorHAnsi" w:cstheme="majorHAnsi"/>
          <w:szCs w:val="24"/>
          <w:lang w:val="pt-BR"/>
        </w:rPr>
      </w:pPr>
    </w:p>
    <w:p w14:paraId="49E33A91" w14:textId="77777777" w:rsidR="00925876" w:rsidRPr="009B500E" w:rsidRDefault="00921C18" w:rsidP="009B500E">
      <w:pPr>
        <w:spacing w:after="0" w:line="240" w:lineRule="auto"/>
        <w:rPr>
          <w:rFonts w:asciiTheme="majorHAnsi" w:hAnsiTheme="majorHAnsi" w:cstheme="majorHAnsi"/>
          <w:szCs w:val="24"/>
          <w:lang w:val="pt-BR"/>
        </w:rPr>
      </w:pPr>
      <w:r w:rsidRPr="00B82BB0">
        <w:rPr>
          <w:lang w:val="pt-BR"/>
        </w:rPr>
        <w:t xml:space="preserve">*Corresponding author: Enrique Medina-Acosta: </w:t>
      </w:r>
    </w:p>
    <w:p w14:paraId="2D4A97E8" w14:textId="77777777" w:rsidR="007B760F" w:rsidRPr="009B500E" w:rsidRDefault="007B760F" w:rsidP="009B500E">
      <w:pPr>
        <w:spacing w:after="0" w:line="240" w:lineRule="auto"/>
        <w:rPr>
          <w:rFonts w:asciiTheme="majorHAnsi" w:hAnsiTheme="majorHAnsi" w:cstheme="majorHAnsi"/>
          <w:szCs w:val="24"/>
          <w:lang w:val="pt-BR"/>
        </w:rPr>
      </w:pPr>
    </w:p>
    <w:p w14:paraId="21B260D8"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b/>
          <w:bCs/>
          <w:szCs w:val="24"/>
          <w:lang w:val="pt-BR"/>
        </w:rPr>
        <w:t>Author e-mails</w:t>
      </w:r>
      <w:r w:rsidRPr="009B500E">
        <w:rPr>
          <w:rFonts w:asciiTheme="majorHAnsi" w:hAnsiTheme="majorHAnsi" w:cstheme="majorHAnsi"/>
          <w:szCs w:val="24"/>
          <w:lang w:val="pt-BR"/>
        </w:rPr>
        <w:t>:</w:t>
      </w:r>
    </w:p>
    <w:p w14:paraId="533A15D6"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Emanuell Rodrigues de Souza: </w:t>
      </w:r>
      <w:hyperlink r:id="rId8" w:history="1">
        <w:r w:rsidR="007B760F" w:rsidRPr="009B500E">
          <w:rPr>
            <w:rStyle w:val="Hyperlink"/>
            <w:rFonts w:asciiTheme="majorHAnsi" w:hAnsiTheme="majorHAnsi" w:cstheme="majorHAnsi"/>
            <w:szCs w:val="24"/>
            <w:lang w:val="pt-BR"/>
          </w:rPr>
          <w:t>souza.ers00@gmail.com</w:t>
        </w:r>
      </w:hyperlink>
    </w:p>
    <w:p w14:paraId="766484A3"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Victor dos Santos Lopes: </w:t>
      </w:r>
      <w:hyperlink r:id="rId9" w:history="1">
        <w:r w:rsidR="007B760F" w:rsidRPr="009B500E">
          <w:rPr>
            <w:rStyle w:val="Hyperlink"/>
            <w:rFonts w:asciiTheme="majorHAnsi" w:hAnsiTheme="majorHAnsi" w:cstheme="majorHAnsi"/>
            <w:szCs w:val="24"/>
            <w:lang w:val="pt-BR"/>
          </w:rPr>
          <w:t>victor94santos.lopes@gmail.com</w:t>
        </w:r>
      </w:hyperlink>
    </w:p>
    <w:p w14:paraId="09414F83" w14:textId="77777777" w:rsidR="007B760F"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Higor Almeida Cordeiro Nogueira: </w:t>
      </w:r>
      <w:hyperlink r:id="rId10" w:history="1">
        <w:r w:rsidR="007B760F" w:rsidRPr="009B500E">
          <w:rPr>
            <w:rStyle w:val="Hyperlink"/>
            <w:rFonts w:asciiTheme="majorHAnsi" w:hAnsiTheme="majorHAnsi" w:cstheme="majorHAnsi"/>
            <w:szCs w:val="24"/>
            <w:lang w:val="pt-BR"/>
          </w:rPr>
          <w:t>higoralmeida1995@gmail.com</w:t>
        </w:r>
      </w:hyperlink>
    </w:p>
    <w:p w14:paraId="2994167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Enrique Medina-Acosta: </w:t>
      </w:r>
      <w:hyperlink r:id="rId11" w:history="1">
        <w:r w:rsidR="007B760F" w:rsidRPr="009B500E">
          <w:rPr>
            <w:rStyle w:val="Hyperlink"/>
            <w:rFonts w:asciiTheme="majorHAnsi" w:hAnsiTheme="majorHAnsi" w:cstheme="majorHAnsi"/>
            <w:szCs w:val="24"/>
          </w:rPr>
          <w:t>quique@uenf.br</w:t>
        </w:r>
      </w:hyperlink>
    </w:p>
    <w:p w14:paraId="312E2D05" w14:textId="77777777" w:rsidR="00334F5E" w:rsidRPr="009B500E" w:rsidRDefault="00334F5E" w:rsidP="009B500E">
      <w:pPr>
        <w:spacing w:after="0" w:line="240" w:lineRule="auto"/>
        <w:rPr>
          <w:rFonts w:asciiTheme="majorHAnsi" w:hAnsiTheme="majorHAnsi" w:cstheme="majorHAnsi"/>
          <w:szCs w:val="24"/>
        </w:rPr>
      </w:pPr>
    </w:p>
    <w:p w14:paraId="5381DA3A" w14:textId="77777777" w:rsidR="00381A47" w:rsidRPr="009B500E" w:rsidRDefault="00381A47" w:rsidP="009B500E">
      <w:pPr>
        <w:spacing w:after="0" w:line="240" w:lineRule="auto"/>
        <w:rPr>
          <w:rFonts w:asciiTheme="majorHAnsi" w:hAnsiTheme="majorHAnsi" w:cstheme="majorHAnsi"/>
          <w:szCs w:val="24"/>
          <w:vertAlign w:val="superscript"/>
        </w:rPr>
        <w:sectPr w:rsidR="00381A47" w:rsidRPr="009B500E" w:rsidSect="00034616">
          <w:headerReference w:type="default" r:id="rId12"/>
          <w:pgSz w:w="11906" w:h="16838"/>
          <w:pgMar w:top="1417" w:right="1417" w:bottom="1417" w:left="1417" w:header="720" w:footer="720" w:gutter="0"/>
          <w:cols w:space="720"/>
          <w:docGrid w:linePitch="360"/>
        </w:sectPr>
      </w:pPr>
      <w:r w:rsidRPr="00447C46">
        <w:rPr>
          <w:rFonts w:asciiTheme="majorHAnsi" w:hAnsiTheme="majorHAnsi" w:cstheme="majorHAnsi"/>
          <w:b/>
          <w:bCs/>
          <w:szCs w:val="24"/>
          <w:vertAlign w:val="superscript"/>
        </w:rPr>
        <w:t xml:space="preserve"># </w:t>
      </w:r>
      <w:r w:rsidRPr="009B500E">
        <w:rPr>
          <w:rFonts w:asciiTheme="majorHAnsi" w:hAnsiTheme="majorHAnsi" w:cstheme="majorHAnsi"/>
          <w:szCs w:val="24"/>
        </w:rPr>
        <w:t>Authors share fi</w:t>
      </w:r>
      <w:r w:rsidR="00CC3CB8" w:rsidRPr="009B500E">
        <w:rPr>
          <w:rFonts w:asciiTheme="majorHAnsi" w:hAnsiTheme="majorHAnsi" w:cstheme="majorHAnsi"/>
          <w:szCs w:val="24"/>
        </w:rPr>
        <w:t>r</w:t>
      </w:r>
      <w:r w:rsidRPr="009B500E">
        <w:rPr>
          <w:rFonts w:asciiTheme="majorHAnsi" w:hAnsiTheme="majorHAnsi" w:cstheme="majorHAnsi"/>
          <w:szCs w:val="24"/>
        </w:rPr>
        <w:t>st authorship</w:t>
      </w:r>
    </w:p>
    <w:p w14:paraId="379DD2DD" w14:textId="77777777" w:rsidR="00925876" w:rsidRPr="009B500E" w:rsidRDefault="00637146" w:rsidP="009B500E">
      <w:pPr>
        <w:pStyle w:val="Ttulo1"/>
        <w:spacing w:before="0" w:line="240" w:lineRule="auto"/>
        <w:rPr>
          <w:rFonts w:cstheme="majorHAnsi"/>
          <w:sz w:val="24"/>
          <w:szCs w:val="24"/>
        </w:rPr>
      </w:pPr>
      <w:r w:rsidRPr="009B500E">
        <w:rPr>
          <w:rFonts w:cstheme="majorHAnsi"/>
          <w:sz w:val="24"/>
          <w:szCs w:val="24"/>
        </w:rPr>
        <w:lastRenderedPageBreak/>
        <w:t>INTRODUCTION</w:t>
      </w:r>
    </w:p>
    <w:p w14:paraId="3CAF4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Regulated cell death (RCD) governs tissue homeostasis, development, and disease pathogenesis through genetically encoded entities that eliminate superfluous, damaged, or dangerous cells {Galluzzi, 2018 #782025}.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{Galluzzi, 2018 #782025}. The NCCD’s operational-definition list totals 20 entities — these 15 plus anoikis, autosis, efferocytosis, mitotic death, and programmed cell death — all retained verbatim in RCDome. Building on this framework, our group compiled gene-level associations for 25 forms and provided tentative operational definitions for forms not covered in the NCCD consensus {Rodrigues de Souza, 2025 #782030;Rodrigues de Souza, 2026 #784804}.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r w:rsidRPr="0022059B">
        <w:rPr>
          <w:rFonts w:asciiTheme="majorHAnsi" w:hAnsiTheme="majorHAnsi" w:cstheme="majorHAnsi"/>
          <w:szCs w:val="24"/>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rPr>
      </w:r>
      <w:r w:rsidRPr="0022059B">
        <w:rPr>
          <w:rFonts w:asciiTheme="majorHAnsi" w:hAnsiTheme="majorHAnsi" w:cstheme="majorHAnsi"/>
          <w:szCs w:val="24"/>
          <w:highlight w:val="yellow"/>
        </w:rPr>
      </w:r>
      <w:r w:rsidRPr="0022059B">
        <w:rPr>
          <w:rFonts w:asciiTheme="majorHAnsi" w:hAnsiTheme="majorHAnsi" w:cstheme="majorHAnsi"/>
          <w:szCs w:val="24"/>
        </w:rPr>
      </w:r>
      <w:r w:rsidR="0022059B">
        <w:rPr>
          <w:rFonts w:asciiTheme="majorHAnsi" w:hAnsiTheme="majorHAnsi" w:cstheme="majorHAnsi"/>
          <w:szCs w:val="24"/>
        </w:rPr>
      </w:r>
      <w:r w:rsidRPr="0022059B">
        <w:rPr>
          <w:rFonts w:asciiTheme="majorHAnsi" w:hAnsiTheme="majorHAnsi" w:cstheme="majorHAnsi"/>
          <w:szCs w:val="24"/>
        </w:rPr>
      </w:r>
    </w:p>
    <w:p w14:paraId="2A9416C8" w14:textId="77777777" w:rsidR="00EC5F2D" w:rsidRPr="009B500E" w:rsidRDefault="00EC5F2D" w:rsidP="009B500E">
      <w:pPr>
        <w:spacing w:after="0" w:line="240" w:lineRule="auto"/>
        <w:rPr>
          <w:rFonts w:asciiTheme="majorHAnsi" w:hAnsiTheme="majorHAnsi" w:cstheme="majorHAnsi"/>
          <w:szCs w:val="24"/>
        </w:rPr>
      </w:pPr>
    </w:p>
    <w:p w14:paraId="0E3ABF91" w14:textId="77777777" w:rsidR="00925876" w:rsidRPr="009B500E" w:rsidRDefault="00921C18" w:rsidP="009B500E">
      <w:pPr>
        <w:spacing w:after="0" w:line="240" w:lineRule="auto"/>
        <w:rPr>
          <w:rFonts w:asciiTheme="majorHAnsi" w:hAnsiTheme="majorHAnsi" w:cstheme="majorHAnsi"/>
          <w:szCs w:val="24"/>
          <w:highlight w:val="yellow"/>
        </w:rPr>
      </w:pPr>
      <w:r w:rsidRPr="009B500E">
        <w:rPr>
          <w:rFonts w:asciiTheme="majorHAnsi" w:hAnsiTheme="majorHAnsi" w:cstheme="majorHAnsi"/>
          <w:szCs w:val="24"/>
        </w:rPr>
        <w:t>Specialized databases such as FerrDB v3 (22 RCD forms, 3,481 genes) {Zhou, 2026 #782033} and RCDdb {Wang, 2024 #782694}, together with our prior compilation (25 RCD forms, 5,913 genes) {Rodrigues de Souza, 2025 #782030},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r w:rsidR="00980C69" w:rsidRPr="009B500E">
        <w:rPr>
          <w:rFonts w:asciiTheme="majorHAnsi" w:hAnsiTheme="majorHAnsi" w:cstheme="majorHAnsi"/>
          <w:szCs w:val="24"/>
          <w:highlight w:val="yellow"/>
        </w:rPr>
      </w:r>
      <w:r w:rsidR="00980C69" w:rsidRPr="009B500E">
        <w:rPr>
          <w:rFonts w:asciiTheme="majorHAnsi" w:hAnsiTheme="majorHAnsi" w:cstheme="majorHAnsi"/>
          <w:szCs w:val="24"/>
        </w:rPr>
      </w:r>
      <w:r w:rsidRPr="009B500E">
        <w:rPr>
          <w:rFonts w:asciiTheme="majorHAnsi" w:hAnsiTheme="majorHAnsi" w:cstheme="majorHAnsi"/>
          <w:szCs w:val="24"/>
        </w:rPr>
      </w:r>
      <w:r w:rsidR="000F5DEE" w:rsidRPr="009B500E">
        <w:rPr>
          <w:rFonts w:asciiTheme="majorHAnsi" w:hAnsiTheme="majorHAnsi" w:cstheme="majorHAnsi"/>
          <w:szCs w:val="24"/>
        </w:rPr>
      </w:r>
      <w:r w:rsidR="000F5DEE" w:rsidRPr="009B500E">
        <w:rPr>
          <w:rFonts w:asciiTheme="majorHAnsi" w:hAnsiTheme="majorHAnsi" w:cstheme="majorHAnsi"/>
          <w:szCs w:val="24"/>
          <w:highlight w:val="yellow"/>
        </w:rPr>
      </w:r>
      <w:r w:rsidRPr="009B500E">
        <w:rPr>
          <w:rFonts w:asciiTheme="majorHAnsi" w:hAnsiTheme="majorHAnsi" w:cstheme="majorHAnsi"/>
          <w:szCs w:val="24"/>
          <w:highlight w:val="yellow"/>
        </w:rPr>
      </w:r>
      <w:r w:rsidRPr="009B500E">
        <w:rPr>
          <w:rFonts w:asciiTheme="majorHAnsi" w:hAnsiTheme="majorHAnsi" w:cstheme="majorHAnsi"/>
          <w:szCs w:val="24"/>
        </w:rPr>
      </w:r>
      <w:r w:rsidR="00187DB0" w:rsidRPr="009B500E">
        <w:rPr>
          <w:rFonts w:asciiTheme="majorHAnsi" w:hAnsiTheme="majorHAnsi" w:cstheme="majorHAnsi"/>
          <w:szCs w:val="24"/>
          <w:highlight w:val="yellow"/>
        </w:rPr>
      </w:r>
      <w:r w:rsidRPr="009B500E">
        <w:rPr>
          <w:rFonts w:asciiTheme="majorHAnsi" w:hAnsiTheme="majorHAnsi" w:cstheme="majorHAnsi"/>
          <w:szCs w:val="24"/>
          <w:highlight w:val="yellow"/>
        </w:rPr>
      </w:r>
      <w:r w:rsidRPr="009B500E">
        <w:rPr>
          <w:rFonts w:asciiTheme="majorHAnsi" w:hAnsiTheme="majorHAnsi" w:cstheme="majorHAnsi"/>
          <w:szCs w:val="24"/>
        </w:rPr>
      </w:r>
      <w:r w:rsidR="005E4420">
        <w:rPr>
          <w:rFonts w:asciiTheme="majorHAnsi" w:hAnsiTheme="majorHAnsi" w:cstheme="majorHAnsi"/>
          <w:szCs w:val="24"/>
        </w:rPr>
      </w:r>
      <w:r w:rsidR="005E4420" w:rsidRPr="009B500E">
        <w:rPr>
          <w:rFonts w:asciiTheme="majorHAnsi" w:hAnsiTheme="majorHAnsi" w:cstheme="majorHAnsi"/>
          <w:szCs w:val="24"/>
        </w:rPr>
      </w:r>
      <w:r w:rsidRPr="009B500E">
        <w:rPr>
          <w:rFonts w:asciiTheme="majorHAnsi" w:hAnsiTheme="majorHAnsi" w:cstheme="majorHAnsi"/>
          <w:szCs w:val="24"/>
        </w:rPr>
      </w:r>
      <w:r w:rsidR="005E4420">
        <w:rPr>
          <w:rFonts w:asciiTheme="majorHAnsi" w:hAnsiTheme="majorHAnsi" w:cstheme="majorHAnsi"/>
          <w:szCs w:val="24"/>
        </w:rPr>
      </w:r>
      <w:r w:rsidRPr="009B500E">
        <w:rPr>
          <w:rFonts w:asciiTheme="majorHAnsi" w:hAnsiTheme="majorHAnsi" w:cstheme="majorHAnsi"/>
          <w:szCs w:val="24"/>
        </w:rPr>
      </w:r>
    </w:p>
    <w:p w14:paraId="7ED3C708" w14:textId="77777777" w:rsidR="00EC5F2D" w:rsidRPr="009B500E" w:rsidRDefault="00EC5F2D" w:rsidP="009B500E">
      <w:pPr>
        <w:spacing w:after="0" w:line="240" w:lineRule="auto"/>
        <w:rPr>
          <w:rFonts w:asciiTheme="majorHAnsi" w:hAnsiTheme="majorHAnsi" w:cstheme="majorHAnsi"/>
          <w:szCs w:val="24"/>
        </w:rPr>
      </w:pPr>
    </w:p>
    <w:p w14:paraId="1D87884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9B500E">
        <w:rPr>
          <w:rFonts w:asciiTheme="majorHAnsi" w:hAnsiTheme="majorHAnsi" w:cstheme="majorHAnsi"/>
          <w:szCs w:val="24"/>
          <w:highlight w:val="yellow"/>
        </w:rPr>
        <w:t>{Perez-Riverol, 2019 #783940}</w:t>
      </w:r>
      <w:r w:rsidRPr="009B500E">
        <w:rPr>
          <w:rFonts w:asciiTheme="majorHAnsi" w:hAnsiTheme="majorHAnsi" w:cstheme="majorHAnsi"/>
          <w:szCs w:val="24"/>
        </w:rPr>
        <w:t>. This pattern extends to curated gene-</w:t>
      </w:r>
      <w:r w:rsidRPr="009B500E">
        <w:rPr>
          <w:rFonts w:asciiTheme="majorHAnsi" w:hAnsiTheme="majorHAnsi" w:cstheme="majorHAnsi"/>
          <w:szCs w:val="24"/>
        </w:rPr>
        <w:lastRenderedPageBreak/>
        <w:t xml:space="preserve">function databases, where the vast majority of recorded associations remain unvalidated against primary literature. Combined with recent calls for rigorous standards, validation, and human oversight in AI-assisted data reanalysis </w:t>
      </w:r>
      <w:r w:rsidR="00B9076D" w:rsidRPr="009B500E">
        <w:rPr>
          <w:rFonts w:asciiTheme="majorHAnsi" w:hAnsiTheme="majorHAnsi" w:cstheme="majorHAnsi"/>
          <w:szCs w:val="24"/>
          <w:highlight w:val="yellow"/>
        </w:rPr>
        <w:t>{Ghaderi, 2026 #783939}</w:t>
      </w:r>
      <w:r w:rsidRPr="009B500E">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84B854" w14:textId="77777777" w:rsidR="00EC5F2D" w:rsidRPr="009B500E" w:rsidRDefault="00EC5F2D" w:rsidP="009B500E">
      <w:pPr>
        <w:spacing w:after="0" w:line="240" w:lineRule="auto"/>
        <w:rPr>
          <w:rFonts w:asciiTheme="majorHAnsi" w:hAnsiTheme="majorHAnsi" w:cstheme="majorHAnsi"/>
          <w:szCs w:val="24"/>
        </w:rPr>
      </w:pPr>
    </w:p>
    <w:p w14:paraId="45A05D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9B500E">
        <w:rPr>
          <w:rFonts w:asciiTheme="majorHAnsi" w:hAnsiTheme="majorHAnsi" w:cstheme="majorHAnsi"/>
          <w:szCs w:val="24"/>
        </w:rPr>
        <w:t xml:space="preserve"> in RCD biology</w:t>
      </w:r>
      <w:r w:rsidRPr="009B500E">
        <w:rPr>
          <w:rFonts w:asciiTheme="majorHAnsi" w:hAnsiTheme="majorHAnsi" w:cstheme="majorHAnsi"/>
          <w:szCs w:val="24"/>
        </w:rPr>
        <w:t>: “</w:t>
      </w:r>
      <w:r w:rsidRPr="009B500E">
        <w:rPr>
          <w:rFonts w:asciiTheme="majorHAnsi" w:hAnsiTheme="majorHAnsi" w:cstheme="majorHAnsi"/>
          <w:i/>
          <w:iCs/>
          <w:szCs w:val="24"/>
        </w:rPr>
        <w:t>Where did this gene-RCD association come from, and what is the evidence?</w:t>
      </w:r>
      <w:r w:rsidRPr="009B500E">
        <w:rPr>
          <w:rFonts w:asciiTheme="majorHAnsi" w:hAnsiTheme="majorHAnsi" w:cstheme="majorHAnsi"/>
          <w:szCs w:val="24"/>
        </w:rPr>
        <w:t>”</w:t>
      </w:r>
    </w:p>
    <w:p w14:paraId="343D97C4" w14:textId="77777777" w:rsidR="00EC5F2D" w:rsidRPr="009B500E" w:rsidRDefault="00EC5F2D" w:rsidP="009B500E">
      <w:pPr>
        <w:spacing w:after="0" w:line="240" w:lineRule="auto"/>
        <w:rPr>
          <w:rFonts w:asciiTheme="majorHAnsi" w:hAnsiTheme="majorHAnsi" w:cstheme="majorHAnsi"/>
          <w:szCs w:val="24"/>
        </w:rPr>
      </w:pPr>
    </w:p>
    <w:p w14:paraId="39F401AF" w14:textId="77777777" w:rsidR="00925876" w:rsidRPr="009B500E" w:rsidRDefault="00921C18" w:rsidP="009B500E">
      <w:pPr>
        <w:spacing w:after="0" w:line="240" w:lineRule="auto"/>
        <w:rPr>
          <w:rFonts w:asciiTheme="majorHAnsi" w:hAnsiTheme="majorHAnsi" w:cstheme="majorHAnsi"/>
          <w:szCs w:val="24"/>
        </w:rPr>
      </w:pPr>
      <w: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60F17B5A" w14:textId="77777777" w:rsidR="00EC5F2D" w:rsidRPr="009B500E" w:rsidRDefault="00EC5F2D" w:rsidP="009B500E">
      <w:pPr>
        <w:spacing w:after="0" w:line="240" w:lineRule="auto"/>
        <w:rPr>
          <w:rFonts w:asciiTheme="majorHAnsi" w:hAnsiTheme="majorHAnsi" w:cstheme="majorHAnsi"/>
          <w:szCs w:val="24"/>
        </w:rPr>
      </w:pPr>
    </w:p>
    <w:p w14:paraId="2B16114D" w14:textId="77777777" w:rsidR="007B760F" w:rsidRPr="009B500E" w:rsidRDefault="00A840DC" w:rsidP="009B500E">
      <w:pPr>
        <w:spacing w:after="0" w:line="240" w:lineRule="auto"/>
        <w:rPr>
          <w:rFonts w:asciiTheme="majorHAnsi" w:hAnsiTheme="majorHAnsi" w:cstheme="majorHAnsi"/>
          <w:szCs w:val="24"/>
        </w:rPr>
      </w:pPr>
      <w:r w:rsidRPr="009B500E">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08A27624" w14:textId="77777777" w:rsidR="00C11CC9" w:rsidRPr="009B500E" w:rsidRDefault="00C11CC9" w:rsidP="009B500E">
      <w:pPr>
        <w:pStyle w:val="Ttulo2"/>
        <w:spacing w:before="0" w:line="240" w:lineRule="auto"/>
        <w:rPr>
          <w:rFonts w:cstheme="majorHAnsi"/>
          <w:sz w:val="24"/>
          <w:szCs w:val="24"/>
        </w:rPr>
      </w:pPr>
    </w:p>
    <w:p w14:paraId="5B9AFB46"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MATERIAL AND METHODS</w:t>
      </w:r>
    </w:p>
    <w:p w14:paraId="63A68F1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Study Design and Strategy Overview</w:t>
      </w:r>
    </w:p>
    <w:p w14:paraId="07CD077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5FA4B925" w14:textId="77777777" w:rsidR="00EC5F2D" w:rsidRPr="009B500E" w:rsidRDefault="00EC5F2D" w:rsidP="009B500E">
      <w:pPr>
        <w:spacing w:after="0" w:line="240" w:lineRule="auto"/>
        <w:rPr>
          <w:rFonts w:asciiTheme="majorHAnsi" w:hAnsiTheme="majorHAnsi" w:cstheme="majorHAnsi"/>
          <w:szCs w:val="24"/>
        </w:rPr>
      </w:pPr>
    </w:p>
    <w:p w14:paraId="4D5FBAE0" w14:textId="77777777" w:rsidR="00EC5F2D" w:rsidRPr="009B500E" w:rsidRDefault="00EC5F2D" w:rsidP="009B500E">
      <w:pPr>
        <w:spacing w:after="0" w:line="240" w:lineRule="auto"/>
        <w:rPr>
          <w:rFonts w:asciiTheme="majorHAnsi" w:hAnsiTheme="majorHAnsi" w:cstheme="majorHAnsi"/>
          <w:b/>
          <w:bCs/>
          <w:szCs w:val="24"/>
        </w:rPr>
      </w:pPr>
    </w:p>
    <w:p w14:paraId="6C90F592" w14:textId="77777777" w:rsidR="005E2A6F"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Establishment of the Canonicalized RCD-Related Entity Vocabulary</w:t>
      </w:r>
    </w:p>
    <w:p w14:paraId="1029C5D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(Galluzzi et al., 2018, PMID:29362479) and extended through AI-curated definitions {Rodrigues de Souza, 2025 #782030;Rodrigues de Souza, 2026 #784804}. These 25 forms comprised 20 executioner entities, 2 trigger events, and 3 functional categories (Supplementary Table S1). </w:t>
      </w:r>
      <w:r w:rsidRPr="00E4335B">
        <w:rPr>
          <w:rFonts w:asciiTheme="majorHAnsi" w:hAnsiTheme="majorHAnsi" w:cstheme="majorHAnsi"/>
          <w:szCs w:val="24"/>
          <w:highlight w:val="magenta"/>
        </w:rPr>
      </w:r>
      <w:r w:rsidRPr="009B500E">
        <w:rPr>
          <w:rFonts w:asciiTheme="majorHAnsi" w:hAnsiTheme="majorHAnsi" w:cstheme="majorHAnsi"/>
          <w:szCs w:val="24"/>
        </w:rPr>
      </w:r>
      <w:r w:rsidRPr="00E4335B">
        <w:rPr>
          <w:rFonts w:asciiTheme="majorHAnsi" w:hAnsiTheme="majorHAnsi" w:cstheme="majorHAnsi"/>
          <w:color w:val="EE0000"/>
          <w:szCs w:val="24"/>
        </w:rPr>
      </w:r>
      <w:r w:rsidRPr="00E4335B">
        <w:rPr>
          <w:rFonts w:asciiTheme="majorHAnsi" w:hAnsiTheme="majorHAnsi" w:cstheme="majorHAnsi"/>
          <w:color w:val="EE0000"/>
          <w:szCs w:val="24"/>
          <w:highlight w:val="cyan"/>
        </w:rPr>
      </w:r>
      <w:r w:rsidRPr="00E4335B">
        <w:rPr>
          <w:rFonts w:asciiTheme="majorHAnsi" w:hAnsiTheme="majorHAnsi" w:cstheme="majorHAnsi"/>
          <w:color w:val="EE0000"/>
          <w:szCs w:val="24"/>
        </w:rPr>
      </w:r>
      <w:r w:rsidRPr="009B500E">
        <w:rPr>
          <w:rFonts w:asciiTheme="majorHAnsi" w:hAnsiTheme="majorHAnsi" w:cstheme="majorHAnsi"/>
          <w:szCs w:val="24"/>
        </w:rPr>
      </w:r>
      <w:r w:rsidRPr="009B500E">
        <w:rPr>
          <w:rFonts w:asciiTheme="majorHAnsi" w:hAnsiTheme="majorHAnsi" w:cstheme="majorHAnsi"/>
          <w:szCs w:val="24"/>
          <w:highlight w:val="yellow"/>
        </w:rPr>
      </w:r>
      <w:r w:rsidR="009B500E" w:rsidRPr="009B500E">
        <w:rPr>
          <w:rFonts w:asciiTheme="majorHAnsi" w:hAnsiTheme="majorHAnsi" w:cstheme="majorHAnsi"/>
          <w:szCs w:val="24"/>
        </w:rPr>
      </w:r>
    </w:p>
    <w:p w14:paraId="2D97C736" w14:textId="77777777" w:rsidR="00FF2AFC" w:rsidRPr="009B500E" w:rsidRDefault="00FF2AFC" w:rsidP="009B500E">
      <w:pPr>
        <w:spacing w:after="0" w:line="240" w:lineRule="auto"/>
        <w:rPr>
          <w:rFonts w:asciiTheme="majorHAnsi" w:hAnsiTheme="majorHAnsi" w:cstheme="majorHAnsi"/>
          <w:b/>
          <w:bCs/>
          <w:szCs w:val="24"/>
        </w:rPr>
      </w:pPr>
    </w:p>
    <w:p>
      <w:pPr/>
      <w: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32C230F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Pr="00705A6F">
        <w:rPr>
          <w:rFonts w:asciiTheme="majorHAnsi" w:hAnsiTheme="majorHAnsi" w:cstheme="majorHAnsi"/>
          <w:szCs w:val="24"/>
          <w:highlight w:val="magenta"/>
        </w:rPr>
        <w:t>(Galluzzi et al., 2018)</w:t>
      </w:r>
      <w:r w:rsidRPr="009B500E">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9B500E">
        <w:rPr>
          <w:rFonts w:asciiTheme="majorHAnsi" w:hAnsiTheme="majorHAnsi" w:cstheme="majorHAnsi"/>
          <w:szCs w:val="24"/>
          <w:highlight w:val="yellow"/>
        </w:rPr>
        <w:t>Supplementary Table S2).</w:t>
      </w:r>
    </w:p>
    <w:p w14:paraId="5EDE59F6" w14:textId="77777777" w:rsidR="00EC5F2D" w:rsidRPr="009B500E" w:rsidRDefault="00EC5F2D" w:rsidP="009B500E">
      <w:pPr>
        <w:spacing w:after="0" w:line="240" w:lineRule="auto"/>
        <w:rPr>
          <w:rFonts w:asciiTheme="majorHAnsi" w:hAnsiTheme="majorHAnsi" w:cstheme="majorHAnsi"/>
          <w:szCs w:val="24"/>
        </w:rPr>
      </w:pPr>
    </w:p>
    <w:p w14:paraId="132E1C7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Candidate RCD forms were validated against five criteria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The adjudication framework and its governance are documented in Supplementary Note S1; the complete evaluation architecture — RCD entity classification, gene–RCD association evidence, and pipeline quality gates — is summarized in Supplementary Figure S1.</w:t>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3F3DE6">
        <w:rPr>
          <w:rFonts w:asciiTheme="majorHAnsi" w:hAnsiTheme="majorHAnsi" w:cstheme="majorHAnsi"/>
          <w:color w:val="auto"/>
          <w:szCs w:val="24"/>
        </w:rPr>
      </w:r>
    </w:p>
    <w:p w14:paraId="6B06E2DC" w14:textId="77777777" w:rsidR="005E2A6F" w:rsidRPr="009B500E" w:rsidRDefault="005E2A6F" w:rsidP="009B500E">
      <w:pPr>
        <w:spacing w:after="0" w:line="240" w:lineRule="auto"/>
        <w:rPr>
          <w:rFonts w:asciiTheme="majorHAnsi" w:hAnsiTheme="majorHAnsi" w:cstheme="majorHAnsi"/>
          <w:szCs w:val="24"/>
        </w:rPr>
      </w:pPr>
    </w:p>
    <w:p w14:paraId="023A05C4"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Operational definitions of RCD entities</w:t>
      </w:r>
    </w:p>
    <w:p w14:paraId="06FBDCCA" w14:textId="77777777" w:rsidR="00A82E1A" w:rsidRPr="009B500E" w:rsidRDefault="00000000" w:rsidP="009B500E">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(two-call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Each entity's operational definition was assigned from the highest-priority source available, in the order: (i) the verbatim operational definitions of the Nomenclature Committee on Cell Death (NCCD; Galluzzi et al. 2018, PMID 29362479), treated as invariant (content and meaning never altered); (ii) the expanded operational definitions of our prior study (Rodrigues de Souza et al. 2025,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p>
    <w:p>
      <w:r>
        <w:t>Human review granularity. 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two-call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0751E7C9" w14:textId="77777777" w:rsidR="004A5E2F" w:rsidRDefault="004A5E2F" w:rsidP="009B500E">
      <w:pPr>
        <w:spacing w:after="0" w:line="240" w:lineRule="auto"/>
      </w:pPr>
    </w:p>
    <w:p w14:paraId="6C35CF8B" w14:textId="77777777" w:rsidR="00A82E1A" w:rsidRDefault="00000000" w:rsidP="009B500E">
      <w:pPr>
        <w:spacing w:after="0" w:line="240" w:lineRule="auto"/>
      </w:pPr>
      <w:r>
        <w:t>Each RCD entity is represented by a 38-field record comprising three evidence layers: (i) definition — the operational definition (prose), key molecules, inflammatory status, description of overlaps, category, and year of discovery; (ii) quantified ranking — the six criteria RS1–RS6 and the overall score S; and (iii) provenance —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6767E7A8" w14:textId="77777777" w:rsidR="001E0E68" w:rsidRPr="009B500E" w:rsidRDefault="001E0E68" w:rsidP="009B500E">
      <w:pPr>
        <w:spacing w:after="0" w:line="240" w:lineRule="auto"/>
        <w:rPr>
          <w:rFonts w:asciiTheme="majorHAnsi" w:hAnsiTheme="majorHAnsi" w:cstheme="majorHAnsi"/>
          <w:szCs w:val="24"/>
        </w:rPr>
      </w:pPr>
    </w:p>
    <w:p w14:paraId="182EFB04" w14:textId="77777777" w:rsidR="0065188A" w:rsidRPr="009B500E" w:rsidRDefault="00000000" w:rsidP="009B500E">
      <w:pPr>
        <w:spacing w:after="0" w:line="240" w:lineRule="auto"/>
        <w:rPr>
          <w:rFonts w:asciiTheme="majorHAnsi" w:hAnsiTheme="majorHAnsi" w:cstheme="majorHAnsi"/>
          <w:szCs w:val="24"/>
        </w:rPr>
      </w:pPr>
      <w:r w:rsidRPr="001E0E68">
        <w:rPr>
          <w:rFonts w:asciiTheme="majorHAnsi" w:hAnsiTheme="majorHAnsi" w:cstheme="majorHAnsi"/>
          <w:i/>
          <w:iCs/>
          <w:szCs w:val="24"/>
        </w:rPr>
        <w:t>The evidence_maturity</w:t>
      </w:r>
      <w:r w:rsidRPr="009B500E">
        <w:rPr>
          <w:rFonts w:asciiTheme="majorHAnsi" w:hAnsiTheme="majorHAnsi" w:cstheme="majorHAnsi"/>
          <w:szCs w:val="24"/>
        </w:rPr>
        <w:t xml:space="preserve"> dimension records the consensus status of each entity as established, supported, emerging, legacy, or provisional.</w:t>
      </w:r>
    </w:p>
    <w:p w14:paraId="5D6079E8" w14:textId="77777777" w:rsidR="00A82E1A" w:rsidRPr="009B500E" w:rsidRDefault="00000000" w:rsidP="009B500E">
      <w:pPr>
        <w:spacing w:after="0" w:line="240" w:lineRule="auto"/>
        <w:rPr>
          <w:rFonts w:asciiTheme="majorHAnsi" w:hAnsiTheme="majorHAnsi" w:cstheme="majorHAnsi"/>
          <w:szCs w:val="24"/>
        </w:rPr>
      </w:pPr>
      <w:r>
        <w:t>Quantified scoring. The six multi-optosis criteria were retained — RS1 extent of research (25%), RS2 direct involvement (25%), RS3 impact on cell/tissue homeostasis (20%), RS4 emerging potential (15%), RS5 biological significance (10%), and RS6 pathophysiological relevance (5%) —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two-call human review.</w:t>
      </w:r>
    </w:p>
    <w:p w14:paraId="59318EA0" w14:textId="77777777" w:rsidR="009B500E" w:rsidRDefault="009B500E" w:rsidP="009B500E">
      <w:pPr>
        <w:spacing w:after="0" w:line="240" w:lineRule="auto"/>
        <w:rPr>
          <w:rFonts w:asciiTheme="majorHAnsi" w:hAnsiTheme="majorHAnsi" w:cstheme="majorHAnsi"/>
          <w:szCs w:val="24"/>
        </w:rPr>
      </w:pPr>
    </w:p>
    <w:p w14:paraId="5D3965B1" w14:textId="77777777" w:rsidR="0065188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(defines maturity), and BG6 species scope. These gates operationalize the NCCD MC1-MC5 criteria (BG1 ~ MC1 machinery; BG2 ~ MC5 modulation; BG3 ~ MC2/MC3 trigger and morphology; BG4 ~ MC4 naming). Entities passing BG1 and BG2 were classified hard_gate_status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r>
        <w:t>Relationship to the NCCD “canonical” ontology. The 19 L1 modalities are deliberately a subset of a larger reference set, not a relabeling of it. The Nomenclature Committee on Cell Death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 cuproptosis, disulfidptosis, methuosis, oxeiptosis, paraptosis, alkaliptosis, NECSO, mitoxyperilysis, and triaptosis —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7DFF21C5" w14:textId="77777777" w:rsidR="009B500E" w:rsidRPr="009B500E" w:rsidRDefault="009B500E" w:rsidP="009B500E">
      <w:pPr>
        <w:spacing w:after="0" w:line="240" w:lineRule="auto"/>
        <w:rPr>
          <w:rFonts w:asciiTheme="majorHAnsi" w:hAnsiTheme="majorHAnsi" w:cstheme="majorHAnsi"/>
          <w:szCs w:val="24"/>
        </w:rPr>
      </w:pPr>
    </w:p>
    <w:p w14:paraId="3FBF870A" w14:textId="77777777" w:rsidR="00A82E1A" w:rsidRDefault="00000000" w:rsidP="009B500E">
      <w:pPr>
        <w:spacing w:after="0" w:line="240" w:lineRule="auto"/>
        <w:rPr>
          <w:rFonts w:asciiTheme="majorHAnsi" w:hAnsiTheme="majorHAnsi" w:cstheme="majorHAnsi"/>
          <w:szCs w:val="24"/>
        </w:rPr>
      </w:pPr>
      <w: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31AC69DE" w14:textId="77777777" w:rsidR="009B500E" w:rsidRPr="009B500E" w:rsidRDefault="009B500E" w:rsidP="009B500E">
      <w:pPr>
        <w:spacing w:after="0" w:line="240" w:lineRule="auto"/>
        <w:rPr>
          <w:rFonts w:asciiTheme="majorHAnsi" w:hAnsiTheme="majorHAnsi" w:cstheme="majorHAnsi"/>
          <w:szCs w:val="24"/>
        </w:rPr>
      </w:pPr>
    </w:p>
    <w:p w14:paraId="3E663E51" w14:textId="77777777" w:rsidR="00A82E1A" w:rsidRPr="009B500E" w:rsidRDefault="00000000" w:rsidP="009B500E">
      <w:pPr>
        <w:spacing w:after="0" w:line="240" w:lineRule="auto"/>
        <w:rPr>
          <w:rFonts w:asciiTheme="majorHAnsi" w:hAnsiTheme="majorHAnsi" w:cstheme="majorHAnsi"/>
          <w:szCs w:val="24"/>
        </w:rPr>
      </w:pPr>
      <w:r>
        <w:t>Every operational definition is anchored to a reference PMID: the NCCD verbatim definitions to Galluzzi et al. (PMID 29362479),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r>
        <w:rPr>
          <w:i/>
        </w:rPr>
      </w:r>
      <w:r/>
      <w:r>
        <w:rPr>
          <w:i/>
        </w:rPr>
      </w:r>
      <w:r/>
      <w:r>
        <w:rPr>
          <w:i/>
        </w:rPr>
      </w:r>
      <w:r/>
    </w:p>
    <w:p w14:paraId="73718D01" w14:textId="77777777" w:rsidR="009B500E" w:rsidRDefault="009B500E" w:rsidP="009B500E">
      <w:pPr>
        <w:spacing w:after="0" w:line="240" w:lineRule="auto"/>
        <w:rPr>
          <w:rFonts w:asciiTheme="majorHAnsi" w:hAnsiTheme="majorHAnsi" w:cstheme="majorHAnsi"/>
          <w:szCs w:val="24"/>
        </w:rPr>
      </w:pPr>
    </w:p>
    <w:p w14:paraId="663B4890" w14:textId="77777777" w:rsidR="00A82E1A" w:rsidRPr="009B500E" w:rsidRDefault="00000000" w:rsidP="009B500E">
      <w:pPr>
        <w:spacing w:after="0" w:line="240" w:lineRule="auto"/>
        <w:rPr>
          <w:rFonts w:asciiTheme="majorHAnsi" w:hAnsiTheme="majorHAnsi" w:cstheme="majorHAnsi"/>
          <w:szCs w:val="24"/>
        </w:rPr>
      </w:pPr>
      <w:r>
        <w:t>Consistent with the two-call principle of our prior multi-optosis study — in which the operational definitions of the five RCD forms not described by the NCCD were extracted by generative AI (GPT-4o, via the PDF Ai Drive tool, over a corpus of 6,603 free-access PDFs) and subsequently validated by manual review —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0B5B970E" w14:textId="77777777" w:rsidR="009B500E" w:rsidRDefault="009B500E" w:rsidP="009B500E">
      <w:pPr>
        <w:spacing w:after="0" w:line="240" w:lineRule="auto"/>
        <w:rPr>
          <w:rFonts w:asciiTheme="majorHAnsi" w:hAnsiTheme="majorHAnsi" w:cstheme="majorHAnsi"/>
          <w:szCs w:val="24"/>
        </w:rPr>
      </w:pPr>
    </w:p>
    <w:p w14:paraId="53BEA649" w14:textId="77777777" w:rsidR="00A82E1A" w:rsidRPr="009B500E" w:rsidRDefault="00864C5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Inter-rater agreement between the drafted and human-reviewed RS1–RS6 values is reported as Cohen's κ (target ≥ 0.80). All definition-building code and the resulting 53-entity decoder are provided in the reproducibility repository. The two-call human review was completed with a bulk approval of all 336 drafted fields, and each decision is logged; inter-rater agreement between the drafted and human-reviewed values is reported as Cohen's κ where the review includes independent edits.</w:t>
      </w:r>
      <w:r w:rsidR="00D16F02">
        <w:rPr>
          <w:rFonts w:asciiTheme="majorHAnsi" w:hAnsiTheme="majorHAnsi" w:cstheme="majorHAnsi"/>
          <w:szCs w:val="24"/>
        </w:rPr>
      </w:r>
      <w:r w:rsidRPr="009B500E">
        <w:rPr>
          <w:rFonts w:asciiTheme="majorHAnsi" w:hAnsiTheme="majorHAnsi" w:cstheme="majorHAnsi"/>
          <w:szCs w:val="24"/>
        </w:rPr>
      </w:r>
    </w:p>
    <w:p w14:paraId="53FE332F" w14:textId="77777777" w:rsidR="009B500E" w:rsidRDefault="009B500E" w:rsidP="009B500E">
      <w:pPr>
        <w:spacing w:after="0" w:line="240" w:lineRule="auto"/>
        <w:rPr>
          <w:rFonts w:asciiTheme="majorHAnsi" w:hAnsiTheme="majorHAnsi" w:cstheme="majorHAnsi"/>
          <w:b/>
          <w:bCs/>
          <w:szCs w:val="24"/>
        </w:rPr>
      </w:pPr>
    </w:p>
    <w:p w14:paraId="59FE64CB"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Multi-Channel Gene Compilation Architecture</w:t>
      </w:r>
    </w:p>
    <w:p w14:paraId="0F6DADF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(Figure 1).</w:t>
      </w:r>
      <w:r w:rsidR="00635000">
        <w:rPr>
          <w:rFonts w:asciiTheme="majorHAnsi" w:hAnsiTheme="majorHAnsi" w:cstheme="majorHAnsi"/>
          <w:szCs w:val="24"/>
        </w:rPr>
      </w:r>
      <w:r w:rsidRPr="009B500E">
        <w:rPr>
          <w:rFonts w:asciiTheme="majorHAnsi" w:hAnsiTheme="majorHAnsi" w:cstheme="majorHAnsi"/>
          <w:szCs w:val="24"/>
        </w:rPr>
      </w:r>
      <w:r w:rsidRPr="009B500E">
        <w:rPr>
          <w:rFonts w:asciiTheme="majorHAnsi" w:hAnsiTheme="majorHAnsi" w:cstheme="majorHAnsi"/>
          <w:szCs w:val="24"/>
          <w:highlight w:val="green"/>
        </w:rPr>
      </w:r>
    </w:p>
    <w:p w14:paraId="7DB7BDFC" w14:textId="77777777" w:rsidR="00EC5F2D" w:rsidRPr="009B500E" w:rsidRDefault="00EC5F2D" w:rsidP="009B500E">
      <w:pPr>
        <w:spacing w:after="0" w:line="240" w:lineRule="auto"/>
        <w:rPr>
          <w:rFonts w:asciiTheme="majorHAnsi" w:hAnsiTheme="majorHAnsi" w:cstheme="majorHAnsi"/>
          <w:szCs w:val="24"/>
        </w:rPr>
      </w:pPr>
    </w:p>
    <w:p w14:paraId="0D0063E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Channel A: Programmatic PubMed Boolean Searches. The curated gene database from </w:t>
      </w:r>
      <w:r w:rsidR="002705CC" w:rsidRPr="009B500E">
        <w:rPr>
          <w:rFonts w:asciiTheme="majorHAnsi" w:hAnsiTheme="majorHAnsi" w:cstheme="majorHAnsi"/>
          <w:szCs w:val="24"/>
          <w:highlight w:val="yellow"/>
        </w:rPr>
        <w:t>{Rodrigues de Souza, 2025 #782030;Rodrigues de Souza, 2026 #784804}</w:t>
      </w:r>
      <w:r w:rsidRPr="009B500E">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305A2C1" w14:textId="77777777" w:rsidR="00EC5F2D" w:rsidRPr="009B500E" w:rsidRDefault="00EC5F2D" w:rsidP="009B500E">
      <w:pPr>
        <w:spacing w:after="0" w:line="240" w:lineRule="auto"/>
        <w:rPr>
          <w:rFonts w:asciiTheme="majorHAnsi" w:hAnsiTheme="majorHAnsi" w:cstheme="majorHAnsi"/>
          <w:color w:val="EE0000"/>
          <w:szCs w:val="24"/>
        </w:rPr>
      </w:pPr>
    </w:p>
    <w:p w14:paraId="6A41C065" w14:textId="77777777" w:rsidR="00925876" w:rsidRPr="00AC138D" w:rsidRDefault="00925876" w:rsidP="009B500E">
      <w: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Pr>
            <w:rStyle w:val="Hyperlink"/>
          </w:rPr>
          <w:t>http://www.zhounan.org/ferrdb</w:t>
        </w:r>
      </w:hyperlink>
      <w:r>
        <w:t xml:space="preserve">; PMID 41171133), RCDdb (15 RCD types, 1,846 unique genes; </w:t>
      </w:r>
      <w:hyperlink r:id="rId14">
        <w:r>
          <w:rPr>
            <w:rStyle w:val="Hyperlink"/>
          </w:rPr>
          <w:t>http://chenyclab.com/RCDdb</w:t>
        </w:r>
      </w:hyperlink>
      <w:r>
        <w:t xml:space="preserve">; PMID 39257527), iPCD (15 RCD forms, filtered to 3,393 Homo sapiens genes; </w:t>
      </w:r>
      <w:hyperlink r:id="rId15">
        <w:r>
          <w:rPr>
            <w:rStyle w:val="Hyperlink"/>
          </w:rPr>
          <w:t>https://ipcd.biocuckoo.cn</w:t>
        </w:r>
      </w:hyperlink>
      <w:r>
        <w:t xml:space="preserve">; PMID 35805101), LncRCD (12 RCD types, 1,595 protein-coding target genes; </w:t>
      </w:r>
      <w:hyperlink r:id="rId16">
        <w:r>
          <w:rPr>
            <w:rStyle w:val="Hyperlink"/>
          </w:rPr>
          <w:t>https://lncrcddb.bio-database.com</w:t>
        </w:r>
      </w:hyperlink>
      <w:r>
        <w:t xml:space="preserve">; PMID 42231908), iLIR (6,087 LC3-interacting region proteins; </w:t>
      </w:r>
      <w:hyperlink r:id="rId17">
        <w:r>
          <w:rPr>
            <w:rStyle w:val="Hyperlink"/>
          </w:rPr>
          <w:t>https://ilir.warwick.ac.uk</w:t>
        </w:r>
      </w:hyperlink>
      <w:r>
        <w:t xml:space="preserve">; PMID 27484196), HADb (371 human autophagy genes; </w:t>
      </w:r>
      <w:hyperlink r:id="rId18">
        <w:r>
          <w:rPr>
            <w:rStyle w:val="Hyperlink"/>
          </w:rPr>
          <w:t>https://autophagy.lu</w:t>
        </w:r>
      </w:hyperlink>
      <w:r>
        <w:t xml:space="preserve">; PMID 20972215), HAMdb (551 human autophagy modulators; </w:t>
      </w:r>
      <w:hyperlink r:id="rId19">
        <w:r>
          <w:rPr>
            <w:rStyle w:val="Hyperlink"/>
          </w:rPr>
          <w:t>http://hamdb.scbdd.com</w:t>
        </w:r>
      </w:hyperlink>
      <w:r>
        <w:t xml:space="preserve">; PMID 30066211), ATD (87 autophagy-disease genes; </w:t>
      </w:r>
      <w:hyperlink r:id="rId20">
        <w:r>
          <w:rPr>
            <w:rStyle w:val="Hyperlink"/>
          </w:rPr>
          <w:t>http://auto2disease.nwsuaflmz.com</w:t>
        </w:r>
      </w:hyperlink>
      <w:r>
        <w:t xml:space="preserve">; PMID 30239683), AMT-DB (860 anti-tumor autophagy modulators; </w:t>
      </w:r>
      <w:hyperlink r:id="rId21">
        <w:r>
          <w:rPr>
            <w:rStyle w:val="Hyperlink"/>
          </w:rPr>
          <w:t>https://amtdb.vercel.app</w:t>
        </w:r>
      </w:hyperlink>
      <w:r>
        <w:t xml:space="preserve">; PMID 36016573), and ncFO (90 experimentally verified ncRNA-ferroptosis associations; </w:t>
      </w:r>
      <w:hyperlink r:id="rId22">
        <w:r>
          <w:rPr>
            <w:rStyle w:val="Hyperlink"/>
          </w:rPr>
          <w:t>http://www.jianglab.cn/ncFO</w:t>
        </w:r>
      </w:hyperlink>
      <w:r>
        <w:t>; PMID 36162726).</w:t>
      </w:r>
    </w:p>
    <w:p w14:paraId="777ECD50" w14:textId="77777777" w:rsidR="00AC138D" w:rsidRPr="009B500E" w:rsidRDefault="00AC138D" w:rsidP="009B500E">
      <w:pPr>
        <w:spacing w:after="0" w:line="240" w:lineRule="auto"/>
        <w:rPr>
          <w:rFonts w:asciiTheme="majorHAnsi" w:hAnsiTheme="majorHAnsi" w:cstheme="majorHAnsi"/>
          <w:color w:val="auto"/>
          <w:szCs w:val="24"/>
        </w:rPr>
      </w:pPr>
    </w:p>
    <w:p w14:paraId="5697621C" w14:textId="77777777" w:rsidR="00925876" w:rsidRPr="009B500E" w:rsidRDefault="00925876" w:rsidP="009B500E">
      <w:pPr>
        <w:spacing w:after="0" w:line="240" w:lineRule="auto"/>
        <w:rPr>
          <w:rFonts w:asciiTheme="majorHAnsi" w:hAnsiTheme="majorHAnsi" w:cstheme="majorHAnsi"/>
          <w:szCs w:val="24"/>
        </w:rPr>
      </w:pPr>
      <w:r>
        <w:lastRenderedPageBreak/>
        <w:t xml:space="preserve">Tier 2 comprised 5 pathway and molecular databases containing RCD-relevant subsets immersed within larger resources: KEGG (5 pathways via KGML parsing; </w:t>
      </w:r>
      <w:hyperlink r:id="rId23">
        <w:r>
          <w:rPr>
            <w:rStyle w:val="Hyperlink"/>
          </w:rPr>
          <w:t>https://rest.kegg.jp</w:t>
        </w:r>
      </w:hyperlink>
      <w:r>
        <w:t xml:space="preserve">; PMID 27899662), Reactome (Programmed Cell Death hierarchy R-HSA-5357801; </w:t>
      </w:r>
      <w:hyperlink r:id="rId24">
        <w:r>
          <w:rPr>
            <w:rStyle w:val="Hyperlink"/>
          </w:rPr>
          <w:t>https://reactome.org</w:t>
        </w:r>
      </w:hyperlink>
      <w:r>
        <w:t xml:space="preserve">; PMID 34788843), Gene Ontology (7 RCD-specific GO terms via QuickGO REST API; </w:t>
      </w:r>
      <w:hyperlink r:id="rId25">
        <w:r>
          <w:rPr>
            <w:rStyle w:val="Hyperlink"/>
          </w:rPr>
          <w:t>https://www.ebi.ac.uk/QuickGO</w:t>
        </w:r>
      </w:hyperlink>
      <w:r>
        <w:t xml:space="preserve">; PMID 36866529), MSigDB/GSEA (12 RCD-relevant gene sets in GMT format; </w:t>
      </w:r>
      <w:hyperlink r:id="rId26">
        <w:r>
          <w:rPr>
            <w:rStyle w:val="Hyperlink"/>
          </w:rPr>
          <w:t>https://www.gsea-msigdb.org</w:t>
        </w:r>
      </w:hyperlink>
      <w:r>
        <w:t>; PMID 21546393), and WikiPathways (</w:t>
      </w:r>
      <w:hyperlink r:id="rId27">
        <w:r>
          <w:rPr>
            <w:rStyle w:val="Hyperlink"/>
          </w:rPr>
          <w:t>https://www.wikipathways.org</w:t>
        </w:r>
      </w:hyperlink>
      <w:r>
        <w:t>; PMID 33211851). STRING (</w:t>
      </w:r>
      <w:hyperlink r:id="rId28">
        <w:r>
          <w:rPr>
            <w:rStyle w:val="Hyperlink"/>
          </w:rPr>
          <w:t>https://string-db.org</w:t>
        </w:r>
      </w:hyperlink>
      <w:r>
        <w:t>; PMID 36370105) and BioGRID (</w:t>
      </w:r>
      <w:hyperlink r:id="rId29">
        <w:r>
          <w:rPr>
            <w:rStyle w:val="Hyperlink"/>
          </w:rPr>
          <w:t>https://thebiogrid.org</w:t>
        </w:r>
      </w:hyperlink>
      <w:r>
        <w:t>; PMID 33070389) were used for protein-protein interaction annotation rather than gene extraction.</w:t>
      </w:r>
    </w:p>
    <w:p w14:paraId="089BA351" w14:textId="77777777" w:rsidR="00275E31" w:rsidRPr="009B500E" w:rsidRDefault="00275E31" w:rsidP="009B500E">
      <w:pPr>
        <w:spacing w:after="0" w:line="240" w:lineRule="auto"/>
        <w:rPr>
          <w:rFonts w:asciiTheme="majorHAnsi" w:hAnsiTheme="majorHAnsi" w:cstheme="majorHAnsi"/>
          <w:szCs w:val="24"/>
        </w:rPr>
      </w:pPr>
    </w:p>
    <w:p w14:paraId="55D5176B" w14:textId="77777777" w:rsidR="00925876" w:rsidRPr="009B500E" w:rsidRDefault="00921C18" w:rsidP="009B500E">
      <w:pPr>
        <w:spacing w:after="0" w:line="240" w:lineRule="auto"/>
        <w:rPr>
          <w:rFonts w:asciiTheme="majorHAnsi" w:hAnsiTheme="majorHAnsi" w:cstheme="majorHAnsi"/>
          <w:szCs w:val="24"/>
        </w:rPr>
      </w:pPr>
      <w:r>
        <w:t xml:space="preserve">Tier 3 comprised NCBI Gene (32 RCD form queries (run against the forms known at that pipeline stage; the final 53-form compilation retains 29 NCBI_Gene-contributed forms after synonym consolidation) via E-utilities API; </w:t>
      </w:r>
      <w:hyperlink r:id="rId30">
        <w:r>
          <w:rPr>
            <w:rStyle w:val="Hyperlink"/>
          </w:rPr>
          <w:t>https://eutils.ncbi.nlm.nih.gov</w:t>
        </w:r>
      </w:hyperlink>
      <w:r>
        <w:t xml:space="preserve">; PMID 25355515). Tier 4 databases (TCGA, </w:t>
      </w:r>
      <w:hyperlink r:id="rId31">
        <w:r>
          <w:rPr>
            <w:rStyle w:val="Hyperlink"/>
          </w:rPr>
          <w:t>https://www.cancer.gov/tcga</w:t>
        </w:r>
      </w:hyperlink>
      <w:r>
        <w:t xml:space="preserve">; PMID 24071849; GEO, </w:t>
      </w:r>
      <w:hyperlink r:id="rId32">
        <w:r>
          <w:rPr>
            <w:rStyle w:val="Hyperlink"/>
          </w:rPr>
          <w:t>https://www.ncbi.nlm.nih.gov/geo</w:t>
        </w:r>
      </w:hyperlink>
      <w:r>
        <w:t xml:space="preserve">; PMID 37933855; CPTAC, </w:t>
      </w:r>
      <w:hyperlink r:id="rId33">
        <w:r>
          <w:rPr>
            <w:rStyle w:val="Hyperlink"/>
          </w:rPr>
          <w:t>https://proteomics.cancer.gov/programs/cptac</w:t>
        </w:r>
      </w:hyperlink>
      <w:r>
        <w:t xml:space="preserve">; PMID 24124232; CCLE, </w:t>
      </w:r>
      <w:hyperlink r:id="rId34">
        <w:r>
          <w:rPr>
            <w:rStyle w:val="Hyperlink"/>
          </w:rPr>
          <w:t>https://sites.broadinstitute.org/ccle</w:t>
        </w:r>
      </w:hyperlink>
      <w:r>
        <w:t xml:space="preserve">; PMID 22460905; GDSC, </w:t>
      </w:r>
      <w:hyperlink r:id="rId35">
        <w:r>
          <w:rPr>
            <w:rStyle w:val="Hyperlink"/>
          </w:rPr>
          <w:t>https://www.depmap.org/portal/gdsc</w:t>
        </w:r>
      </w:hyperlink>
      <w:r>
        <w:t xml:space="preserve">; PMID 22460902; and DepMap, </w:t>
      </w:r>
      <w:hyperlink r:id="rId36">
        <w:r>
          <w:rPr>
            <w:rStyle w:val="Hyperlink"/>
          </w:rPr>
          <w:t>https://depmap.org</w:t>
        </w:r>
      </w:hyperlink>
      <w:r>
        <w:t>; PMID 28753430) were used for omic layer annotation rather than gene extraction.</w:t>
      </w:r>
    </w:p>
    <w:p w14:paraId="6AF0382A" w14:textId="77777777" w:rsidR="00EC5F2D" w:rsidRPr="009B500E" w:rsidRDefault="00EC5F2D" w:rsidP="009B500E">
      <w:pPr>
        <w:spacing w:after="0" w:line="240" w:lineRule="auto"/>
        <w:rPr>
          <w:rFonts w:asciiTheme="majorHAnsi" w:hAnsiTheme="majorHAnsi" w:cstheme="majorHAnsi"/>
          <w:szCs w:val="24"/>
        </w:rPr>
      </w:pPr>
    </w:p>
    <w:p w14:paraId="1CA78A5D"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6273C2DD" w14:textId="77777777" w:rsidR="00EC5F2D" w:rsidRPr="009B500E" w:rsidRDefault="00EC5F2D" w:rsidP="009B500E">
      <w:pPr>
        <w:spacing w:after="0" w:line="240" w:lineRule="auto"/>
        <w:rPr>
          <w:rFonts w:asciiTheme="majorHAnsi" w:hAnsiTheme="majorHAnsi" w:cstheme="majorHAnsi"/>
          <w:szCs w:val="24"/>
        </w:rPr>
      </w:pPr>
    </w:p>
    <w:p w14:paraId="0E077127"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ncFO </w:t>
      </w:r>
      <w:r w:rsidR="0072338A" w:rsidRPr="009B500E">
        <w:rPr>
          <w:rFonts w:asciiTheme="majorHAnsi" w:hAnsiTheme="majorHAnsi" w:cstheme="majorHAnsi"/>
          <w:szCs w:val="24"/>
          <w:highlight w:val="yellow"/>
        </w:rPr>
        <w:t>{Zhou, 2023 #784803}</w:t>
      </w:r>
      <w:r w:rsidR="002E5FF2">
        <w:rPr>
          <w:rFonts w:asciiTheme="majorHAnsi" w:hAnsiTheme="majorHAnsi" w:cstheme="majorHAnsi"/>
          <w:szCs w:val="24"/>
        </w:rPr>
        <w:t>,</w:t>
      </w:r>
      <w:r w:rsidR="0072338A" w:rsidRPr="009B500E">
        <w:rPr>
          <w:rFonts w:asciiTheme="majorHAnsi" w:hAnsiTheme="majorHAnsi" w:cstheme="majorHAnsi"/>
          <w:szCs w:val="24"/>
        </w:rPr>
        <w:t xml:space="preserve"> </w:t>
      </w:r>
      <w:r w:rsidRPr="009B500E">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w:t>
      </w:r>
      <w:r w:rsidRPr="009B500E">
        <w:rPr>
          <w:rFonts w:asciiTheme="majorHAnsi" w:hAnsiTheme="majorHAnsi" w:cstheme="majorHAnsi"/>
          <w:szCs w:val="24"/>
        </w:rPr>
        <w:lastRenderedPageBreak/>
        <w:t>documented but not integrated, because circRNAs lack HGNC nomenclature and a complete circRNA layer would require class-wide curation across all RCD forms.</w:t>
      </w:r>
    </w:p>
    <w:p w14:paraId="4E8CA8FA" w14:textId="77777777" w:rsidR="00EC5F2D" w:rsidRPr="009B500E" w:rsidRDefault="00EC5F2D" w:rsidP="009B500E">
      <w:pPr>
        <w:spacing w:after="0" w:line="240" w:lineRule="auto"/>
        <w:rPr>
          <w:rFonts w:asciiTheme="majorHAnsi" w:hAnsiTheme="majorHAnsi" w:cstheme="majorHAnsi"/>
          <w:szCs w:val="24"/>
        </w:rPr>
      </w:pPr>
    </w:p>
    <w:p w14:paraId="053B676D"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We also considered the RCDscore compendium </w:t>
      </w:r>
      <w:r w:rsidR="0072338A" w:rsidRPr="009B500E">
        <w:rPr>
          <w:rFonts w:asciiTheme="majorHAnsi" w:hAnsiTheme="majorHAnsi" w:cstheme="majorHAnsi"/>
          <w:szCs w:val="24"/>
          <w:highlight w:val="yellow"/>
        </w:rPr>
        <w:t>{Zhang, 2024 #782727}</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 pan-cancer resource that collects 18 RCD signatures (11,206 </w:t>
      </w:r>
      <w:r w:rsidR="00705A6F">
        <w:rPr>
          <w:rFonts w:asciiTheme="majorHAnsi" w:hAnsiTheme="majorHAnsi" w:cstheme="majorHAnsi"/>
          <w:szCs w:val="24"/>
        </w:rPr>
        <w:t>gene-RCD</w:t>
      </w:r>
      <w:r w:rsidRPr="009B500E">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Pr>
          <w:rFonts w:asciiTheme="majorHAnsi" w:hAnsiTheme="majorHAnsi" w:cstheme="majorHAnsi"/>
          <w:szCs w:val="24"/>
        </w:rPr>
        <w:t xml:space="preserve">-RCD </w:t>
      </w:r>
      <w:r w:rsidRPr="009B500E">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52FB6397" w14:textId="77777777" w:rsidR="00925876" w:rsidRPr="009B500E" w:rsidRDefault="00921C18" w:rsidP="009B500E">
      <w:pPr>
        <w:spacing w:after="0" w:line="240" w:lineRule="auto"/>
        <w:rPr>
          <w:rFonts w:asciiTheme="majorHAnsi" w:hAnsiTheme="majorHAnsi" w:cstheme="majorHAnsi"/>
          <w:szCs w:val="24"/>
        </w:rPr>
      </w:pPr>
      <w:r>
        <w:t>For each database, extraction was performed using dedicated Python scripts (channel_b_*.py), with all gene symbols validated against HGNC nomenclature. Every gene-RCD association was annotated with its source database, evidence type, and extraction timestamp.</w:t>
      </w:r>
    </w:p>
    <w:p w14:paraId="11286B07" w14:textId="77777777" w:rsidR="00EC5F2D" w:rsidRPr="009B500E" w:rsidRDefault="00EC5F2D" w:rsidP="009B500E">
      <w:pPr>
        <w:spacing w:after="0" w:line="240" w:lineRule="auto"/>
        <w:rPr>
          <w:rFonts w:asciiTheme="majorHAnsi" w:hAnsiTheme="majorHAnsi" w:cstheme="majorHAnsi"/>
          <w:color w:val="EE0000"/>
          <w:szCs w:val="24"/>
        </w:rPr>
      </w:pPr>
    </w:p>
    <w:p w14:paraId="569EB6D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(bulk human approval, logged 2026-09-05). The Consensus.ai academic search engine (</w:t>
      </w:r>
      <w:hyperlink r:id="rId37">
        <w:r w:rsidRPr="009B500E">
          <w:rPr>
            <w:rFonts w:asciiTheme="majorHAnsi" w:hAnsiTheme="majorHAnsi" w:cstheme="majorHAnsi"/>
            <w:color w:val="0563C1"/>
            <w:szCs w:val="24"/>
            <w:u w:val="single"/>
          </w:rPr>
          <w:t>https://consensus.app</w:t>
        </w:r>
      </w:hyperlink>
      <w:r w:rsidRPr="009B500E">
        <w:rPr>
          <w:rFonts w:asciiTheme="majorHAnsi" w:hAnsiTheme="majorHAnsi" w:cstheme="majorHAnsi"/>
          <w:szCs w:val="24"/>
        </w:rPr>
        <w:t>) was used for semantic searches across 200M+ papers, returning claim-level extractions with citation context.</w:t>
      </w:r>
    </w:p>
    <w:p w14:paraId="21D96B5D" w14:textId="77777777" w:rsidR="00EC5F2D" w:rsidRPr="009B500E" w:rsidRDefault="00EC5F2D" w:rsidP="009B500E">
      <w:pPr>
        <w:spacing w:after="0" w:line="240" w:lineRule="auto"/>
        <w:rPr>
          <w:rFonts w:asciiTheme="majorHAnsi" w:hAnsiTheme="majorHAnsi" w:cstheme="majorHAnsi"/>
          <w:szCs w:val="24"/>
        </w:rPr>
      </w:pPr>
    </w:p>
    <w:p w14:paraId="2CF8A20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6CDF2D" w14:textId="77777777" w:rsidR="00EC5F2D" w:rsidRPr="009B500E" w:rsidRDefault="00EC5F2D" w:rsidP="009B500E">
      <w:pPr>
        <w:spacing w:after="0" w:line="240" w:lineRule="auto"/>
        <w:rPr>
          <w:rFonts w:asciiTheme="majorHAnsi" w:hAnsiTheme="majorHAnsi" w:cstheme="majorHAnsi"/>
          <w:b/>
          <w:bCs/>
          <w:szCs w:val="24"/>
        </w:rPr>
      </w:pPr>
    </w:p>
    <w:p w14:paraId="40BAAC1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Gene-RCD Association Traceability Specification</w:t>
      </w:r>
    </w:p>
    <w:p w14:paraId="5469F4E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bulk human approval (logged 2026-09-05). An automated rejection engine enforces these rules at the integration step.</w:t>
      </w:r>
    </w:p>
    <w:p w14:paraId="7FE450D9" w14:textId="77777777" w:rsidR="009B500E" w:rsidRDefault="009B500E" w:rsidP="009B500E">
      <w:pPr>
        <w:spacing w:after="0" w:line="240" w:lineRule="auto"/>
        <w:rPr>
          <w:rFonts w:asciiTheme="majorHAnsi" w:hAnsiTheme="majorHAnsi" w:cstheme="majorHAnsi"/>
          <w:szCs w:val="24"/>
        </w:rPr>
      </w:pPr>
    </w:p>
    <w:p w14:paraId="74FE915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Integration and Unified Gene-RCD Matrix</w:t>
      </w:r>
    </w:p>
    <w:p w14:paraId="651B7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Outputs from all four channels were merged into a unified gene-RCD association matrix using (gene_symbol, rcd_form) as the primary merge key, preserving the original RCD form </w:t>
      </w:r>
      <w:r w:rsidRPr="009B500E">
        <w:rPr>
          <w:rFonts w:asciiTheme="majorHAnsi" w:hAnsiTheme="majorHAnsi" w:cstheme="majorHAnsi"/>
          <w:szCs w:val="24"/>
        </w:rPr>
        <w:t>name exactly as recorded in each source database. A parallel rcd_form_canonical column was reserved for subsequent expert-governed unification of synonymous form names (e.g., "Entosis" to "Entotic cell death").</w:t>
      </w:r>
    </w:p>
    <w:p w14:paraId="6901B11D" w14:textId="77777777" w:rsidR="00EC5F2D" w:rsidRPr="009B500E" w:rsidRDefault="00EC5F2D" w:rsidP="009B500E">
      <w:pPr>
        <w:spacing w:after="0" w:line="240" w:lineRule="auto"/>
        <w:rPr>
          <w:rFonts w:asciiTheme="majorHAnsi" w:hAnsiTheme="majorHAnsi" w:cstheme="majorHAnsi"/>
          <w:szCs w:val="24"/>
        </w:rPr>
      </w:pPr>
    </w:p>
    <w:p w14:paraId="00F4867F" w14:textId="77777777" w:rsidR="00925876" w:rsidRPr="009B500E" w:rsidRDefault="00921C18" w:rsidP="009B500E">
      <w:pPr>
        <w:spacing w:after="0" w:line="240" w:lineRule="auto"/>
        <w:rPr>
          <w:rFonts w:asciiTheme="majorHAnsi" w:hAnsiTheme="majorHAnsi" w:cstheme="majorHAnsi"/>
          <w:szCs w:val="24"/>
        </w:rPr>
      </w:pPr>
      <w: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3FD86B43" w14:textId="77777777" w:rsidR="00EC5F2D" w:rsidRPr="009B500E" w:rsidRDefault="00EC5F2D" w:rsidP="009B500E">
      <w:pPr>
        <w:spacing w:after="0" w:line="240" w:lineRule="auto"/>
        <w:rPr>
          <w:rFonts w:asciiTheme="majorHAnsi" w:hAnsiTheme="majorHAnsi" w:cstheme="majorHAnsi"/>
          <w:szCs w:val="24"/>
        </w:rPr>
      </w:pPr>
    </w:p>
    <w:p w14:paraId="6C97BADC" w14:textId="77777777" w:rsidR="00925876" w:rsidRPr="009B500E" w:rsidRDefault="00921C18" w:rsidP="009B500E">
      <w:pPr>
        <w:spacing w:after="0" w:line="240" w:lineRule="auto"/>
        <w:rPr>
          <w:rFonts w:asciiTheme="majorHAnsi" w:hAnsiTheme="majorHAnsi" w:cstheme="majorHAnsi"/>
          <w:szCs w:val="24"/>
        </w:rPr>
      </w:pPr>
      <w:r>
        <w:t xml:space="preserve">Additionally, all gene symbols in the merged matrix were validated against the HGNC complete approved symbol set (n = 45,030; </w:t>
      </w:r>
      <w:hyperlink r:id="rId38">
        <w:r>
          <w:rPr>
            <w:rStyle w:val="Hyperlink"/>
          </w:rPr>
          <w:t>https://rest.genenames.org</w:t>
        </w:r>
      </w:hyperlink>
      <w:r>
        <w:t>; PMID 36243972).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13E88734" w14:textId="77777777" w:rsidR="00EC5F2D" w:rsidRPr="009B500E" w:rsidRDefault="00EC5F2D" w:rsidP="009B500E">
      <w:pPr>
        <w:spacing w:after="0" w:line="240" w:lineRule="auto"/>
        <w:rPr>
          <w:rFonts w:asciiTheme="majorHAnsi" w:hAnsiTheme="majorHAnsi" w:cstheme="majorHAnsi"/>
          <w:szCs w:val="24"/>
        </w:rPr>
      </w:pPr>
    </w:p>
    <w:p w14:paraId="5A97A457" w14:textId="77777777" w:rsidR="005E2A6F"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Pr>
          <w:rFonts w:asciiTheme="majorHAnsi" w:hAnsiTheme="majorHAnsi" w:cstheme="majorHAnsi"/>
          <w:szCs w:val="24"/>
        </w:rPr>
        <w:t xml:space="preserve"> </w:t>
      </w:r>
      <w:r w:rsidR="004C0F76" w:rsidRPr="004C0F76">
        <w:rPr>
          <w:rFonts w:asciiTheme="majorHAnsi" w:hAnsiTheme="majorHAnsi" w:cstheme="majorHAnsi"/>
          <w:szCs w:val="24"/>
          <w:highlight w:val="green"/>
        </w:rPr>
        <w:t>(Dataset S1)</w:t>
      </w:r>
      <w:r w:rsidRPr="009B500E">
        <w:rPr>
          <w:rFonts w:asciiTheme="majorHAnsi" w:hAnsiTheme="majorHAnsi" w:cstheme="majorHAnsi"/>
          <w:szCs w:val="24"/>
        </w:rPr>
        <w:t xml:space="preserve">. </w:t>
      </w:r>
    </w:p>
    <w:p w14:paraId="06887E44" w14:textId="77777777" w:rsidR="00EC5F2D" w:rsidRPr="009B500E" w:rsidRDefault="00EC5F2D" w:rsidP="009B500E">
      <w:pPr>
        <w:spacing w:after="0" w:line="240" w:lineRule="auto"/>
        <w:rPr>
          <w:rFonts w:asciiTheme="majorHAnsi" w:hAnsiTheme="majorHAnsi" w:cstheme="majorHAnsi"/>
          <w:b/>
          <w:bCs/>
          <w:szCs w:val="24"/>
        </w:rPr>
      </w:pPr>
    </w:p>
    <w:p w14:paraId="3D60B651"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b/>
          <w:bCs/>
          <w:color w:val="auto"/>
          <w:szCs w:val="24"/>
        </w:rPr>
        <w:t>RCD Form Name Normalization</w:t>
      </w:r>
    </w:p>
    <w:p w14:paraId="423F236F" w14:textId="77777777" w:rsidR="00925876" w:rsidRPr="00A30E1D" w:rsidRDefault="00921C18" w:rsidP="009B500E">
      <w:pPr>
        <w:spacing w:after="0" w:line="240" w:lineRule="auto"/>
        <w:rPr>
          <w:rFonts w:asciiTheme="majorHAnsi" w:hAnsiTheme="majorHAnsi" w:cstheme="majorHAnsi"/>
          <w:b/>
          <w:bCs/>
          <w:color w:val="auto"/>
          <w:szCs w:val="24"/>
        </w:rPr>
      </w:pPr>
      <w:r w:rsidRPr="00A30E1D">
        <w:rPr>
          <w:rFonts w:asciiTheme="majorHAnsi" w:hAnsiTheme="majorHAnsi" w:cstheme="majorHAnsi"/>
          <w:b/>
          <w:bCs/>
          <w:color w:val="auto"/>
          <w:szCs w:val="24"/>
        </w:rPr>
        <w:t>Phase 2 and 3: Expansion, External Audit, and Governance</w:t>
      </w:r>
    </w:p>
    <w:p w14:paraId="0B3F2348" w14:textId="77777777" w:rsidR="00EA778E"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 Floatptosis and Lysozincrosis as a cell-type program (L4) and a subtype (L2), respectively, and Metalloptosis as an umbrella term — completing the 53-entity vocabulary. An external audit subsequently integrated three additional databases (Reactome pathway-specific gene sets, WikiPathways, and XDeathDB), bringing the final count to 53 RCD-related entities (Supplementary Table S3). </w:t>
      </w:r>
    </w:p>
    <w:p w14:paraId="10393F5A" w14:textId="77777777" w:rsidR="00EA778E" w:rsidRPr="00A30E1D" w:rsidRDefault="00EA778E" w:rsidP="009B500E">
      <w:pPr>
        <w:spacing w:after="0" w:line="240" w:lineRule="auto"/>
        <w:rPr>
          <w:rFonts w:asciiTheme="majorHAnsi" w:hAnsiTheme="majorHAnsi" w:cstheme="majorHAnsi"/>
          <w:color w:val="auto"/>
          <w:szCs w:val="24"/>
        </w:rPr>
      </w:pPr>
    </w:p>
    <w:p w14:paraId="7F400A07"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Three proposals were formally excluded on fundamental grounds:</w:t>
      </w:r>
    </w:p>
    <w:p w14:paraId="56CDA06F" w14:textId="77777777" w:rsidR="00EA778E" w:rsidRPr="00A30E1D" w:rsidRDefault="00EA778E" w:rsidP="009B500E">
      <w:pPr>
        <w:spacing w:after="0" w:line="240" w:lineRule="auto"/>
        <w:rPr>
          <w:rFonts w:asciiTheme="majorHAnsi" w:hAnsiTheme="majorHAnsi" w:cstheme="majorHAnsi"/>
          <w:color w:val="auto"/>
          <w:szCs w:val="24"/>
        </w:rPr>
      </w:pPr>
    </w:p>
    <w:p w14:paraId="29909FC3"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1. </w:t>
      </w:r>
      <w:r w:rsidR="00921C18" w:rsidRPr="00A30E1D">
        <w:rPr>
          <w:rFonts w:asciiTheme="majorHAnsi" w:hAnsiTheme="majorHAnsi" w:cstheme="majorHAnsi"/>
          <w:color w:val="auto"/>
          <w:szCs w:val="24"/>
        </w:rPr>
        <w:t xml:space="preserve">Cobaltosis: This term describes systemic cobalt toxicity (cobaltism) from metal-on-metal hip implants, not a genetically encoded cell death program. The cellular damage is a consequence of heavy metal poisoning, not a regulated entity with distinct molecular </w:t>
      </w:r>
      <w:r w:rsidR="00921C18" w:rsidRPr="00A30E1D">
        <w:rPr>
          <w:rFonts w:asciiTheme="majorHAnsi" w:hAnsiTheme="majorHAnsi" w:cstheme="majorHAnsi"/>
          <w:color w:val="auto"/>
          <w:szCs w:val="24"/>
        </w:rPr>
        <w:lastRenderedPageBreak/>
        <w:t>machinery. No unique trigger, executioner, or inhibitor distinguishes it from general metal toxicity.</w:t>
      </w:r>
    </w:p>
    <w:p w14:paraId="2C4DC2B9" w14:textId="77777777" w:rsidR="00EA778E" w:rsidRPr="00A30E1D" w:rsidRDefault="00EA778E" w:rsidP="009B500E">
      <w:pPr>
        <w:spacing w:after="0" w:line="240" w:lineRule="auto"/>
        <w:rPr>
          <w:rFonts w:asciiTheme="majorHAnsi" w:hAnsiTheme="majorHAnsi" w:cstheme="majorHAnsi"/>
          <w:color w:val="auto"/>
          <w:szCs w:val="24"/>
        </w:rPr>
      </w:pPr>
    </w:p>
    <w:p w14:paraId="3E34069A"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2. </w:t>
      </w:r>
      <w:r w:rsidR="00921C18" w:rsidRPr="00A30E1D">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6CEE2227" w14:textId="77777777" w:rsidR="00EA778E" w:rsidRPr="00A30E1D" w:rsidRDefault="00EA778E" w:rsidP="009B500E">
      <w:pPr>
        <w:spacing w:after="0" w:line="240" w:lineRule="auto"/>
        <w:rPr>
          <w:rFonts w:asciiTheme="majorHAnsi" w:hAnsiTheme="majorHAnsi" w:cstheme="majorHAnsi"/>
          <w:color w:val="auto"/>
          <w:szCs w:val="24"/>
        </w:rPr>
      </w:pPr>
    </w:p>
    <w:p w14:paraId="06A114B4"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3. </w:t>
      </w:r>
      <w:r w:rsidR="00921C18" w:rsidRPr="00A30E1D">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6CA3EB78"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678D4FA1" w14:textId="77777777" w:rsidR="0022059B" w:rsidRPr="00FC261A" w:rsidRDefault="0022059B" w:rsidP="009B500E">
      <w:pPr>
        <w:spacing w:after="0" w:line="240" w:lineRule="auto"/>
        <w:rPr>
          <w:rFonts w:asciiTheme="majorHAnsi" w:hAnsiTheme="majorHAnsi" w:cstheme="majorHAnsi"/>
          <w:color w:val="EE0000"/>
          <w:szCs w:val="24"/>
        </w:rPr>
      </w:pPr>
    </w:p>
    <w:p w14:paraId="3334C93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Supplementary Table S5.</w:t>
      </w:r>
    </w:p>
    <w:p w14:paraId="0B179115" w14:textId="77777777" w:rsidR="00EA778E" w:rsidRPr="009B500E" w:rsidRDefault="00EA778E" w:rsidP="009B500E">
      <w:pPr>
        <w:spacing w:after="0" w:line="240" w:lineRule="auto"/>
        <w:rPr>
          <w:rFonts w:asciiTheme="majorHAnsi" w:hAnsiTheme="majorHAnsi" w:cstheme="majorHAnsi"/>
          <w:szCs w:val="24"/>
        </w:rPr>
      </w:pPr>
    </w:p>
    <w:p w14:paraId="2225872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Normalization mapping (11 renames to produce 53 RCD-related entities, all with gene-level evidence):</w:t>
      </w:r>
    </w:p>
    <w:p w14:paraId="14BEC9AC" w14:textId="77777777" w:rsidR="00925876" w:rsidRPr="009B500E" w:rsidRDefault="00925876" w:rsidP="009B500E">
      <w:pPr>
        <w:spacing w:after="0" w:line="240" w:lineRule="auto"/>
        <w:rPr>
          <w:rFonts w:asciiTheme="majorHAnsi" w:hAnsiTheme="majorHAnsi" w:cstheme="majorHAnsi"/>
          <w:szCs w:val="24"/>
        </w:rPr>
      </w:pPr>
    </w:p>
    <w:p w14:paraId="764B918A"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RCD Form Vocabulary Consolidation</w:t>
      </w:r>
    </w:p>
    <w:p w14:paraId="4C1B54F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RCD form vocabulary consolidates 62 original name strings from 20 independent resources into 53 RCD-related entities through 11 synonym merges.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4F976F0E" w14:textId="77777777" w:rsidR="00EA778E" w:rsidRPr="009B500E" w:rsidRDefault="00EA778E" w:rsidP="009B500E">
      <w:pPr>
        <w:spacing w:after="0" w:line="240" w:lineRule="auto"/>
        <w:rPr>
          <w:rFonts w:asciiTheme="majorHAnsi" w:hAnsiTheme="majorHAnsi" w:cstheme="majorHAnsi"/>
          <w:b/>
          <w:bCs/>
          <w:szCs w:val="24"/>
        </w:rPr>
      </w:pPr>
    </w:p>
    <w:p w14:paraId="7F8C586E"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Summary of RCD Form Count Evolution</w:t>
      </w:r>
    </w:p>
    <w:p w14:paraId="462966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D5A9806" w14:textId="77777777" w:rsidR="00EA778E" w:rsidRPr="009B500E" w:rsidRDefault="00EA778E" w:rsidP="009B500E">
      <w:pPr>
        <w:spacing w:after="0" w:line="240" w:lineRule="auto"/>
        <w:rPr>
          <w:rFonts w:asciiTheme="majorHAnsi" w:hAnsiTheme="majorHAnsi" w:cstheme="majorHAnsi"/>
          <w:b/>
          <w:bCs/>
          <w:szCs w:val="24"/>
        </w:rPr>
      </w:pPr>
    </w:p>
    <w:p w14:paraId="5787032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lastRenderedPageBreak/>
        <w:t>Phase 2: Automated Gene-RCD Association Validation</w:t>
      </w:r>
    </w:p>
    <w:p w14:paraId="7191F637" w14:textId="77777777" w:rsidR="00CA1683" w:rsidRDefault="00000000">
      <w:r>
        <w:rPr>
          <w:b/>
        </w:rPr>
        <w:t>Phase 2A: Two-Call Independent Validation</w:t>
      </w:r>
    </w:p>
    <w:p w14:paraId="079F9B8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11DAA10" w14:textId="77777777" w:rsidR="00EA778E" w:rsidRPr="009B500E" w:rsidRDefault="00EA778E" w:rsidP="009B500E">
      <w:pPr>
        <w:spacing w:after="0" w:line="240" w:lineRule="auto"/>
        <w:rPr>
          <w:rFonts w:asciiTheme="majorHAnsi" w:hAnsiTheme="majorHAnsi" w:cstheme="majorHAnsi"/>
          <w:b/>
          <w:bCs/>
          <w:szCs w:val="24"/>
        </w:rPr>
      </w:pPr>
    </w:p>
    <w:p w14:paraId="3A11E78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Two distinct validations are performed and never conflated: (i)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validation — whether a gene and an RCD entity are genuinely linked in the published record — which is automated and scalable across the three independent channels; and (ii) RCD modality status validation — whether an entity constitutes a bona fide human cell-death modality — which is an ontological judgment performed by human curation, not by the automated channels.</w:t>
      </w:r>
    </w:p>
    <w:p w14:paraId="5BEB0279" w14:textId="77777777" w:rsidR="009B500E" w:rsidRDefault="009B500E" w:rsidP="009B500E">
      <w:pPr>
        <w:spacing w:after="0" w:line="240" w:lineRule="auto"/>
        <w:rPr>
          <w:rFonts w:asciiTheme="majorHAnsi" w:hAnsiTheme="majorHAnsi" w:cstheme="majorHAnsi"/>
          <w:b/>
          <w:bCs/>
          <w:szCs w:val="24"/>
        </w:rPr>
      </w:pPr>
    </w:p>
    <w:p w14:paraId="61CAC82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Two-Call Independent Validation Architecture</w:t>
      </w:r>
    </w:p>
    <w:p w14:paraId="3B6D651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pipeline executes two completely independent LLM calls per gene-RCD pair, with no cross-contamination between them:</w:t>
      </w:r>
    </w:p>
    <w:p w14:paraId="6ECC3D41" w14:textId="77777777" w:rsidR="00EA778E" w:rsidRPr="009B500E" w:rsidRDefault="00EA778E" w:rsidP="009B500E">
      <w:pPr>
        <w:spacing w:after="0" w:line="240" w:lineRule="auto"/>
        <w:rPr>
          <w:rFonts w:asciiTheme="majorHAnsi" w:hAnsiTheme="majorHAnsi" w:cstheme="majorHAnsi"/>
          <w:b/>
          <w:bCs/>
          <w:szCs w:val="24"/>
        </w:rPr>
      </w:pPr>
    </w:p>
    <w:p w14:paraId="2C56EA4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A (Internal Knowledge):</w:t>
      </w:r>
      <w:r w:rsidRPr="009B500E">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D65EBBA" w14:textId="77777777" w:rsidR="00EA778E" w:rsidRPr="009B500E" w:rsidRDefault="00EA778E" w:rsidP="009B500E">
      <w:pPr>
        <w:spacing w:after="0" w:line="240" w:lineRule="auto"/>
        <w:rPr>
          <w:rFonts w:asciiTheme="majorHAnsi" w:hAnsiTheme="majorHAnsi" w:cstheme="majorHAnsi"/>
          <w:b/>
          <w:bCs/>
          <w:szCs w:val="24"/>
        </w:rPr>
      </w:pPr>
    </w:p>
    <w:p w14:paraId="6A10FAC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B (PubMed Abstract Evidence)</w:t>
      </w:r>
      <w:r w:rsidRPr="009B500E">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2872D8E7" w14:textId="77777777" w:rsidR="00840E12" w:rsidRPr="009B500E" w:rsidRDefault="00840E12" w:rsidP="009B500E">
      <w:pPr>
        <w:spacing w:after="0" w:line="240" w:lineRule="auto"/>
        <w:rPr>
          <w:rFonts w:asciiTheme="majorHAnsi" w:hAnsiTheme="majorHAnsi" w:cstheme="majorHAnsi"/>
          <w:b/>
          <w:bCs/>
          <w:szCs w:val="24"/>
        </w:rPr>
      </w:pPr>
    </w:p>
    <w:p w14:paraId="58F7D98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DeepSeek Validation.</w:t>
      </w:r>
      <w:r w:rsidRPr="009B500E">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Pr>
          <w:rFonts w:asciiTheme="majorHAnsi" w:hAnsiTheme="majorHAnsi" w:cstheme="majorHAnsi"/>
          <w:szCs w:val="24"/>
        </w:rPr>
        <w:t xml:space="preserve"> </w:t>
      </w:r>
    </w:p>
    <w:p w14:paraId="375FFD8F" w14:textId="77777777" w:rsidR="009B500E" w:rsidRDefault="009B500E" w:rsidP="009B500E">
      <w:pPr>
        <w:spacing w:after="0" w:line="240" w:lineRule="auto"/>
        <w:rPr>
          <w:rFonts w:asciiTheme="majorHAnsi" w:hAnsiTheme="majorHAnsi" w:cstheme="majorHAnsi"/>
          <w:szCs w:val="24"/>
        </w:rPr>
      </w:pPr>
    </w:p>
    <w:p w14:paraId="788F2CA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27B16E2B" w14:textId="77777777" w:rsidR="00EA778E" w:rsidRPr="009B500E" w:rsidRDefault="00EA778E" w:rsidP="009B500E">
      <w:pPr>
        <w:spacing w:after="0" w:line="240" w:lineRule="auto"/>
        <w:rPr>
          <w:rFonts w:asciiTheme="majorHAnsi" w:hAnsiTheme="majorHAnsi" w:cstheme="majorHAnsi"/>
          <w:b/>
          <w:bCs/>
          <w:szCs w:val="24"/>
        </w:rPr>
      </w:pPr>
    </w:p>
    <w:p w14:paraId="5CDC3D9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Evidence Tier Assignment</w:t>
      </w:r>
    </w:p>
    <w:p w14:paraId="0832A44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gene-RCD pair receives a final evidence tier (ET1-ET4) based on a composite of multi-database consensus and LLM validation status:</w:t>
      </w:r>
    </w:p>
    <w:p w14:paraId="19D48E36" w14:textId="77777777" w:rsidR="00EA778E" w:rsidRPr="009B500E" w:rsidRDefault="00EA778E" w:rsidP="009B500E">
      <w:pPr>
        <w:spacing w:after="0" w:line="240" w:lineRule="auto"/>
        <w:rPr>
          <w:rFonts w:asciiTheme="majorHAnsi" w:hAnsiTheme="majorHAnsi" w:cstheme="majorHAnsi"/>
          <w:szCs w:val="24"/>
        </w:rPr>
      </w:pPr>
    </w:p>
    <w:p w14:paraId="0A60685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ET1 (Gold Standard): Four or more independent database sources, or two or more sources with RCDdb-provided PMIDs.</w:t>
      </w:r>
    </w:p>
    <w:p w14:paraId="2F907AD9" w14:textId="77777777" w:rsidR="00EA778E" w:rsidRPr="009B500E" w:rsidRDefault="00EA778E" w:rsidP="009B500E">
      <w:pPr>
        <w:spacing w:after="0" w:line="240" w:lineRule="auto"/>
        <w:rPr>
          <w:rFonts w:asciiTheme="majorHAnsi" w:hAnsiTheme="majorHAnsi" w:cstheme="majorHAnsi"/>
          <w:szCs w:val="24"/>
        </w:rPr>
      </w:pPr>
    </w:p>
    <w:p w14:paraId="54C5A01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ET2 (Strong Evidence): Three or more sources, or confirmed by both LLM calls.</w:t>
      </w:r>
    </w:p>
    <w:p w14:paraId="3C9C44BD" w14:textId="77777777" w:rsidR="00EA778E" w:rsidRPr="009B500E" w:rsidRDefault="00EA778E" w:rsidP="009B500E">
      <w:pPr>
        <w:spacing w:after="0" w:line="240" w:lineRule="auto"/>
        <w:rPr>
          <w:rFonts w:asciiTheme="majorHAnsi" w:hAnsiTheme="majorHAnsi" w:cstheme="majorHAnsi"/>
          <w:szCs w:val="24"/>
        </w:rPr>
      </w:pPr>
    </w:p>
    <w:p w14:paraId="5205D61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ET3 (Moderate Evidence): Two sources with LLM confirmation, or one source with LLM confirmation.</w:t>
      </w:r>
    </w:p>
    <w:p w14:paraId="44F2D226" w14:textId="77777777" w:rsidR="00EA778E" w:rsidRPr="009B500E" w:rsidRDefault="00EA778E" w:rsidP="009B500E">
      <w:pPr>
        <w:spacing w:after="0" w:line="240" w:lineRule="auto"/>
        <w:rPr>
          <w:rFonts w:asciiTheme="majorHAnsi" w:hAnsiTheme="majorHAnsi" w:cstheme="majorHAnsi"/>
          <w:szCs w:val="24"/>
        </w:rPr>
      </w:pPr>
    </w:p>
    <w:p w14:paraId="3274D29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ET4 (Weak Evidence): Single source without LLM confirmation, or LLM unable to verify.</w:t>
      </w:r>
    </w:p>
    <w:p w14:paraId="46BF11EA" w14:textId="77777777" w:rsidR="00917D83" w:rsidRDefault="00917D83" w:rsidP="009B500E">
      <w:pPr>
        <w:spacing w:after="0" w:line="240" w:lineRule="auto"/>
        <w:rPr>
          <w:rFonts w:asciiTheme="majorHAnsi" w:hAnsiTheme="majorHAnsi" w:cstheme="majorHAnsi"/>
          <w:color w:val="EE0000"/>
          <w:szCs w:val="24"/>
        </w:rPr>
      </w:pPr>
    </w:p>
    <w:p w14:paraId="2B1F26E9" w14:textId="77777777" w:rsidR="00925876" w:rsidRPr="00FC261A" w:rsidRDefault="00921C18" w:rsidP="009B500E">
      <w:pPr>
        <w:spacing w:after="0" w:line="240" w:lineRule="auto"/>
        <w:rPr>
          <w:rFonts w:asciiTheme="majorHAnsi" w:hAnsiTheme="majorHAnsi" w:cstheme="majorHAnsi"/>
          <w:color w:val="EE0000"/>
          <w:szCs w:val="24"/>
        </w:rPr>
      </w:pPr>
      <w:r w:rsidRPr="00FC261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r w:rsidR="00491367" w:rsidRPr="00FC261A">
        <w:rPr>
          <w:rFonts w:asciiTheme="majorHAnsi" w:hAnsiTheme="majorHAnsi" w:cstheme="majorHAnsi"/>
          <w:color w:val="EE0000"/>
          <w:szCs w:val="24"/>
        </w:rPr>
      </w:r>
      <w:r w:rsidRPr="00FC261A">
        <w:rPr>
          <w:rFonts w:asciiTheme="majorHAnsi" w:hAnsiTheme="majorHAnsi" w:cstheme="majorHAnsi"/>
          <w:color w:val="EE0000"/>
          <w:szCs w:val="24"/>
        </w:rPr>
      </w:r>
    </w:p>
    <w:p w14:paraId="65247782" w14:textId="77777777" w:rsidR="00EA778E" w:rsidRPr="009B500E" w:rsidRDefault="00EA778E" w:rsidP="009B500E">
      <w:pPr>
        <w:spacing w:after="0" w:line="240" w:lineRule="auto"/>
        <w:rPr>
          <w:rFonts w:asciiTheme="majorHAnsi" w:hAnsiTheme="majorHAnsi" w:cstheme="majorHAnsi"/>
          <w:szCs w:val="24"/>
        </w:rPr>
      </w:pPr>
    </w:p>
    <w:p w14:paraId="43099F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Anti-Block and Rate-Limiting Strategy</w:t>
      </w:r>
    </w:p>
    <w:p w14:paraId="6330339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w:t>
      </w:r>
      <w:r>
        <w:t xml:space="preserve"> The validation pipeline is implemented as channel_c_evidence_tier.py in the extraction code repository. All LLM API keys are stored in environment variables (.env file), never hardcoded.</w:t>
      </w:r>
    </w:p>
    <w:p w14:paraId="4B382F07" w14:textId="77777777" w:rsidR="00EA778E" w:rsidRPr="009B500E" w:rsidRDefault="00EA778E" w:rsidP="009B500E">
      <w:pPr>
        <w:spacing w:after="0" w:line="240" w:lineRule="auto"/>
        <w:rPr>
          <w:rFonts w:asciiTheme="majorHAnsi" w:hAnsiTheme="majorHAnsi" w:cstheme="majorHAnsi"/>
          <w:szCs w:val="24"/>
        </w:rPr>
      </w:pPr>
    </w:p>
    <w:p w14:paraId="4570ED18"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8448B7C"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18A7DEC1" w14:textId="77777777" w:rsidR="004A5E2F" w:rsidRDefault="004A5E2F" w:rsidP="009B500E">
      <w:pPr>
        <w:spacing w:after="0" w:line="240" w:lineRule="auto"/>
        <w:rPr>
          <w:rFonts w:asciiTheme="majorHAnsi" w:hAnsiTheme="majorHAnsi" w:cstheme="majorHAnsi"/>
          <w:szCs w:val="24"/>
        </w:rPr>
      </w:pPr>
    </w:p>
    <w:p w14:paraId="7B1949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w:t>
      </w:r>
      <w:r>
        <w:t xml:space="preserve"> The Phase 2A/D validation output columns are described in Supplementary Table S7.</w:t>
      </w:r>
    </w:p>
    <w:p w14:paraId="141C5D31" w14:textId="77777777" w:rsidR="00EA778E" w:rsidRPr="004E36FF" w:rsidRDefault="00EA778E" w:rsidP="009B500E">
      <w:pPr>
        <w:spacing w:after="0" w:line="240" w:lineRule="auto"/>
        <w:rPr>
          <w:rFonts w:asciiTheme="majorHAnsi" w:hAnsiTheme="majorHAnsi" w:cstheme="majorHAnsi"/>
          <w:color w:val="EE0000"/>
          <w:szCs w:val="24"/>
        </w:rPr>
      </w:pPr>
    </w:p>
    <w:p w14:paraId="1F2FF027" w14:textId="77777777" w:rsidR="00925876" w:rsidRPr="009B500E" w:rsidRDefault="00921C18" w:rsidP="009B500E">
      <w:pPr>
        <w:spacing w:after="0" w:line="240" w:lineRule="auto"/>
        <w:rPr>
          <w:rFonts w:asciiTheme="majorHAnsi" w:hAnsiTheme="majorHAnsi" w:cstheme="majorHAnsi"/>
          <w:szCs w:val="24"/>
        </w:rPr>
      </w:pPr>
      <w:r w:rsidRPr="00CE378B">
        <w:rPr>
          <w:rFonts w:asciiTheme="majorHAnsi" w:hAnsiTheme="majorHAnsi" w:cstheme="majorHAnsi"/>
          <w:b/>
          <w:bCs/>
          <w:szCs w:val="24"/>
        </w:rPr>
        <w:t>Phase 2A/D MSigDB extension.</w:t>
      </w:r>
      <w:r w:rsidRPr="009B500E">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 </w:t>
      </w:r>
      <w:r w:rsidRPr="009B500E">
        <w:rPr>
          <w:rFonts w:asciiTheme="majorHAnsi" w:hAnsiTheme="majorHAnsi" w:cstheme="majorHAnsi"/>
          <w:szCs w:val="24"/>
        </w:rPr>
        <w:lastRenderedPageBreak/>
        <w:t>mechanistic (yes/no), role (executor/regulator/marker/uncertain), and direction (promotes/protects) —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0D1CC95C" w14:textId="77777777" w:rsidR="00EA778E" w:rsidRPr="009B500E" w:rsidRDefault="00EA778E" w:rsidP="009B500E">
      <w:pPr>
        <w:spacing w:after="0" w:line="240" w:lineRule="auto"/>
        <w:rPr>
          <w:rFonts w:asciiTheme="majorHAnsi" w:hAnsiTheme="majorHAnsi" w:cstheme="majorHAnsi"/>
          <w:szCs w:val="24"/>
        </w:rPr>
      </w:pPr>
    </w:p>
    <w:p w14:paraId="246582F3" w14:textId="77777777" w:rsidR="00925876" w:rsidRPr="009B500E" w:rsidRDefault="00985363"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Phase 2B: Europe PMC Full-Text XML Deep RAG Evidence Extraction</w:t>
      </w:r>
    </w:p>
    <w:p w14:paraId="655D646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4AE222EE" w14:textId="77777777" w:rsidR="00570905" w:rsidRPr="009B500E" w:rsidRDefault="00570905" w:rsidP="009B500E">
      <w:pPr>
        <w:spacing w:after="0" w:line="240" w:lineRule="auto"/>
        <w:rPr>
          <w:rFonts w:asciiTheme="majorHAnsi" w:hAnsiTheme="majorHAnsi" w:cstheme="majorHAnsi"/>
          <w:szCs w:val="24"/>
        </w:rPr>
      </w:pPr>
    </w:p>
    <w:p w14:paraId="6062D7E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E54383">
        <w:rPr>
          <w:rFonts w:asciiTheme="majorHAnsi" w:hAnsiTheme="majorHAnsi" w:cstheme="majorHAnsi"/>
          <w:color w:val="EE0000"/>
          <w:szCs w:val="24"/>
        </w:rPr>
        <w:t xml:space="preserve">Phase 2A </w:t>
      </w:r>
      <w:r w:rsidRPr="009B500E">
        <w:rPr>
          <w:rFonts w:asciiTheme="majorHAnsi" w:hAnsiTheme="majorHAnsi" w:cstheme="majorHAnsi"/>
          <w:szCs w:val="24"/>
        </w:rPr>
        <w:t>(abstract-level validation) by capturing evidence buried in paper bodies that never appears in titles or abstracts.</w:t>
      </w:r>
    </w:p>
    <w:p w14:paraId="4B02ACA3" w14:textId="77777777" w:rsidR="00EA778E" w:rsidRPr="009B500E" w:rsidRDefault="00EA778E" w:rsidP="009B500E">
      <w:pPr>
        <w:spacing w:after="0" w:line="240" w:lineRule="auto"/>
        <w:rPr>
          <w:rFonts w:asciiTheme="majorHAnsi" w:hAnsiTheme="majorHAnsi" w:cstheme="majorHAnsi"/>
          <w:b/>
          <w:szCs w:val="24"/>
        </w:rPr>
      </w:pPr>
    </w:p>
    <w:p w14:paraId="40A5C7A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Combined-Pass Per-Article Architecture</w:t>
      </w:r>
    </w:p>
    <w:p w14:paraId="32E819D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article </w:t>
      </w:r>
      <w:r w:rsidR="001D4FC0">
        <w:rPr>
          <w:rFonts w:asciiTheme="majorHAnsi" w:hAnsiTheme="majorHAnsi" w:cstheme="majorHAnsi"/>
          <w:szCs w:val="24"/>
        </w:rPr>
        <w:t>was</w:t>
      </w:r>
      <w:r w:rsidRPr="009B500E">
        <w:rPr>
          <w:rFonts w:asciiTheme="majorHAnsi" w:hAnsiTheme="majorHAnsi" w:cstheme="majorHAnsi"/>
          <w:szCs w:val="24"/>
        </w:rPr>
        <w:t xml:space="preserve"> processed through a single combined-pass LLM call per text chunk, which performs three tasks in one request:</w:t>
      </w:r>
    </w:p>
    <w:p w14:paraId="0D354433" w14:textId="77777777" w:rsidR="00EA778E" w:rsidRPr="009B500E" w:rsidRDefault="00EA778E" w:rsidP="009B500E">
      <w:pPr>
        <w:spacing w:after="0" w:line="240" w:lineRule="auto"/>
        <w:rPr>
          <w:rFonts w:asciiTheme="majorHAnsi" w:hAnsiTheme="majorHAnsi" w:cstheme="majorHAnsi"/>
          <w:szCs w:val="24"/>
        </w:rPr>
      </w:pPr>
    </w:p>
    <w:p w14:paraId="4F86173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1 —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663680A2" w14:textId="77777777" w:rsidR="00EA778E" w:rsidRPr="009B500E" w:rsidRDefault="00EA778E" w:rsidP="009B500E">
      <w:pPr>
        <w:spacing w:after="0" w:line="240" w:lineRule="auto"/>
        <w:rPr>
          <w:rFonts w:asciiTheme="majorHAnsi" w:hAnsiTheme="majorHAnsi" w:cstheme="majorHAnsi"/>
          <w:szCs w:val="24"/>
        </w:rPr>
      </w:pPr>
    </w:p>
    <w:p w14:paraId="53F1C2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2 —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7CB63E08" w14:textId="77777777" w:rsidR="00EA778E" w:rsidRPr="009B500E" w:rsidRDefault="00EA778E" w:rsidP="009B500E">
      <w:pPr>
        <w:spacing w:after="0" w:line="240" w:lineRule="auto"/>
        <w:rPr>
          <w:rFonts w:asciiTheme="majorHAnsi" w:hAnsiTheme="majorHAnsi" w:cstheme="majorHAnsi"/>
          <w:szCs w:val="24"/>
        </w:rPr>
      </w:pPr>
    </w:p>
    <w:p w14:paraId="7676B3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3 —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2DF01F9" w14:textId="77777777" w:rsidR="00EA778E" w:rsidRPr="009B500E" w:rsidRDefault="00EA778E" w:rsidP="009B500E">
      <w:pPr>
        <w:spacing w:after="0" w:line="240" w:lineRule="auto"/>
        <w:rPr>
          <w:rFonts w:asciiTheme="majorHAnsi" w:hAnsiTheme="majorHAnsi" w:cstheme="majorHAnsi"/>
          <w:b/>
          <w:bCs/>
          <w:szCs w:val="24"/>
        </w:rPr>
      </w:pPr>
    </w:p>
    <w:p w14:paraId="005B7B76"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Hallucination Prevention and Governance</w:t>
      </w:r>
    </w:p>
    <w:p w14:paraId="509C14B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Pr>
          <w:rFonts w:asciiTheme="majorHAnsi" w:hAnsiTheme="majorHAnsi" w:cstheme="majorHAnsi"/>
          <w:szCs w:val="24"/>
        </w:rPr>
        <w:t xml:space="preserve"> </w:t>
      </w:r>
      <w:r w:rsidRPr="009B500E">
        <w:rPr>
          <w:rFonts w:asciiTheme="majorHAnsi" w:hAnsiTheme="majorHAnsi" w:cstheme="majorHAnsi"/>
          <w:szCs w:val="24"/>
        </w:rPr>
        <w:t xml:space="preserve">(verify_sentence()). Sentences not found in the source article are rejected with a logged HALLUCINATION_DETECTED flag and excluded from accumulation. Per-PDF hallucination </w:t>
      </w:r>
      <w:r w:rsidRPr="009B500E">
        <w:rPr>
          <w:rFonts w:asciiTheme="majorHAnsi" w:hAnsiTheme="majorHAnsi" w:cstheme="majorHAnsi"/>
          <w:szCs w:val="24"/>
        </w:rPr>
        <w:lastRenderedPageBreak/>
        <w:t>rates are monitored; rates exceeding 30% trigger a CRITICAL alert. A global hallucination counter and per-incident log provide full auditability.</w:t>
      </w:r>
    </w:p>
    <w:p w14:paraId="0ED388D3" w14:textId="77777777" w:rsidR="00EA778E" w:rsidRPr="009B500E" w:rsidRDefault="00EA778E" w:rsidP="009B500E">
      <w:pPr>
        <w:spacing w:after="0" w:line="240" w:lineRule="auto"/>
        <w:rPr>
          <w:rFonts w:asciiTheme="majorHAnsi" w:hAnsiTheme="majorHAnsi" w:cstheme="majorHAnsi"/>
          <w:b/>
          <w:bCs/>
          <w:szCs w:val="24"/>
        </w:rPr>
      </w:pPr>
    </w:p>
    <w:p w14:paraId="6434CE6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Multi-Paper Evidence Aggregation</w:t>
      </w:r>
    </w:p>
    <w:p w14:paraId="58E0529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9B500E">
        <w:rPr>
          <w:rFonts w:asciiTheme="majorHAnsi" w:hAnsiTheme="majorHAnsi" w:cstheme="majorHAnsi"/>
          <w:szCs w:val="24"/>
        </w:rPr>
        <w:t>Evidence</w:t>
      </w:r>
      <w:r w:rsidRPr="009B500E">
        <w:rPr>
          <w:rFonts w:asciiTheme="majorHAnsi" w:hAnsiTheme="majorHAnsi" w:cstheme="majorHAnsi"/>
          <w:szCs w:val="24"/>
        </w:rPr>
        <w:t xml:space="preserve"> score (fraction of papers with DIRECT_EXPERIMENTAL evidence) provides a continuous quality metric.</w:t>
      </w:r>
    </w:p>
    <w:p w14:paraId="30CE2628" w14:textId="77777777" w:rsidR="00EA778E" w:rsidRPr="009B500E" w:rsidRDefault="00EA778E" w:rsidP="009B500E">
      <w:pPr>
        <w:spacing w:after="0" w:line="240" w:lineRule="auto"/>
        <w:rPr>
          <w:rFonts w:asciiTheme="majorHAnsi" w:hAnsiTheme="majorHAnsi" w:cstheme="majorHAnsi"/>
          <w:b/>
          <w:bCs/>
          <w:szCs w:val="24"/>
        </w:rPr>
      </w:pPr>
    </w:p>
    <w:p w14:paraId="6F9A8D31"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72787A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{Yang, 2014 #784805}</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w:t>
      </w:r>
      <w:r w:rsidR="00676F2A" w:rsidRPr="009B500E">
        <w:rPr>
          <w:rFonts w:asciiTheme="majorHAnsi" w:hAnsiTheme="majorHAnsi" w:cstheme="majorHAnsi"/>
          <w:szCs w:val="24"/>
        </w:rPr>
        <w:t xml:space="preserve">MLKL/Necroptosis </w:t>
      </w:r>
      <w:r w:rsidR="00676F2A" w:rsidRPr="009B500E">
        <w:rPr>
          <w:rFonts w:asciiTheme="majorHAnsi" w:hAnsiTheme="majorHAnsi" w:cstheme="majorHAnsi"/>
          <w:szCs w:val="24"/>
          <w:highlight w:val="yellow"/>
        </w:rPr>
        <w:t>{Cai, 2014 #784806}</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GSDMD/Pyroptosis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Sborgi, 2016 #784808}</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and </w:t>
      </w:r>
      <w:r w:rsidRPr="009B500E">
        <w:rPr>
          <w:rFonts w:asciiTheme="majorHAnsi" w:hAnsiTheme="majorHAnsi" w:cstheme="majorHAnsi"/>
          <w:szCs w:val="24"/>
          <w:highlight w:val="yellow"/>
        </w:rPr>
        <w:t>{Tsvetkov, 2022 #784069}</w:t>
      </w:r>
      <w:r w:rsidRPr="009B500E">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A30E1D">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9B500E">
        <w:rPr>
          <w:rFonts w:asciiTheme="majorHAnsi" w:hAnsiTheme="majorHAnsi" w:cstheme="majorHAnsi"/>
          <w:szCs w:val="24"/>
        </w:rPr>
        <w:t>.</w:t>
      </w:r>
    </w:p>
    <w:p w14:paraId="628B5559" w14:textId="77777777" w:rsidR="00EA778E" w:rsidRPr="009B500E" w:rsidRDefault="00EA778E" w:rsidP="009B500E">
      <w:pPr>
        <w:spacing w:after="0" w:line="240" w:lineRule="auto"/>
        <w:rPr>
          <w:rFonts w:asciiTheme="majorHAnsi" w:hAnsiTheme="majorHAnsi" w:cstheme="majorHAnsi"/>
          <w:b/>
          <w:bCs/>
          <w:szCs w:val="24"/>
        </w:rPr>
      </w:pPr>
    </w:p>
    <w:p w14:paraId="16562F12"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Output and Matrix Integration</w:t>
      </w:r>
    </w:p>
    <w:p w14:paraId="0358830F" w14:textId="77777777" w:rsidR="00685507" w:rsidRPr="009B500E" w:rsidRDefault="00685507"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(ET2 to ET1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75A88ECB" w14:textId="77777777" w:rsidR="00EA778E" w:rsidRPr="009B500E" w:rsidRDefault="00EA778E" w:rsidP="009B500E">
      <w:pPr>
        <w:spacing w:after="0" w:line="240" w:lineRule="auto"/>
        <w:rPr>
          <w:rFonts w:asciiTheme="majorHAnsi" w:hAnsiTheme="majorHAnsi" w:cstheme="majorHAnsi"/>
          <w:szCs w:val="24"/>
        </w:rPr>
      </w:pPr>
    </w:p>
    <w:p w14:paraId="5E7AF25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Output and Traceability. 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r w:rsidRPr="009B500E">
        <w:rPr>
          <w:rFonts w:asciiTheme="majorHAnsi" w:hAnsiTheme="majorHAnsi" w:cstheme="majorHAnsi"/>
          <w:szCs w:val="24"/>
        </w:rPr>
      </w:r>
      <w:r w:rsidRPr="009B500E">
        <w:rPr>
          <w:rFonts w:asciiTheme="majorHAnsi" w:hAnsiTheme="majorHAnsi" w:cstheme="majorHAnsi"/>
          <w:szCs w:val="24"/>
        </w:rPr>
      </w:r>
    </w:p>
    <w:p w14:paraId="2DB0B3ED" w14:textId="77777777" w:rsidR="00EA778E" w:rsidRPr="009B500E" w:rsidRDefault="00EA778E" w:rsidP="009B500E">
      <w:pPr>
        <w:spacing w:after="0" w:line="240" w:lineRule="auto"/>
        <w:rPr>
          <w:rFonts w:asciiTheme="majorHAnsi" w:hAnsiTheme="majorHAnsi" w:cstheme="majorHAnsi"/>
          <w:szCs w:val="24"/>
        </w:rPr>
      </w:pPr>
    </w:p>
    <w:p w14:paraId="6EF352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Phase 2D and 2E: Extended Literature Validation After External Audit</w:t>
      </w:r>
    </w:p>
    <w:p w14:paraId="07A85D11" w14:textId="77777777" w:rsidR="00925876" w:rsidRPr="009B500E" w:rsidRDefault="00921C18" w:rsidP="009B500E">
      <w:pPr>
        <w:spacing w:after="0" w:line="240" w:lineRule="auto"/>
        <w:rPr>
          <w:rFonts w:asciiTheme="majorHAnsi" w:hAnsiTheme="majorHAnsi" w:cstheme="majorHAnsi"/>
          <w:szCs w:val="24"/>
        </w:rPr>
      </w:pPr>
      <w:r>
        <w:t>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 PMID 34907160) 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hyperlink r:id="rId39">
        <w:r>
          <w:rPr>
            <w:rStyle w:val="Hyperlink"/>
          </w:rPr>
          <w:t>https://pcm2019.shinyapps.io/XDeathDB</w:t>
        </w:r>
      </w:hyperlink>
      <w:r/>
    </w:p>
    <w:p w14:paraId="6106FE9C" w14:textId="77777777" w:rsidR="00871F46" w:rsidRPr="009B500E" w:rsidRDefault="00871F46" w:rsidP="009B500E">
      <w:pPr>
        <w:spacing w:after="0" w:line="240" w:lineRule="auto"/>
        <w:rPr>
          <w:rFonts w:asciiTheme="majorHAnsi" w:hAnsiTheme="majorHAnsi" w:cstheme="majorHAnsi"/>
          <w:szCs w:val="24"/>
        </w:rPr>
      </w:pPr>
    </w:p>
    <w:p w14:paraId="646291A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2F: Chain-of-Thought Full-Matrix Classification</w:t>
      </w:r>
    </w:p>
    <w:p w14:paraId="347B35A6"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in the Phase 2A/D mini-run, yielding the final 21,568 unique pairs.</w:t>
      </w:r>
    </w:p>
    <w:p w14:paraId="75C5E3B0" w14:textId="77777777" w:rsidR="00871F46" w:rsidRPr="009B500E" w:rsidRDefault="00871F46" w:rsidP="009B500E">
      <w:pPr>
        <w:spacing w:after="0" w:line="240" w:lineRule="auto"/>
        <w:rPr>
          <w:rFonts w:asciiTheme="majorHAnsi" w:hAnsiTheme="majorHAnsi" w:cstheme="majorHAnsi"/>
          <w:szCs w:val="24"/>
        </w:rPr>
      </w:pPr>
    </w:p>
    <w:p w14:paraId="43BCD49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E349639" w14:textId="77777777" w:rsidR="00871F46" w:rsidRPr="009B500E" w:rsidRDefault="00871F46" w:rsidP="009B500E">
      <w:pPr>
        <w:spacing w:after="0" w:line="240" w:lineRule="auto"/>
        <w:rPr>
          <w:rFonts w:asciiTheme="majorHAnsi" w:hAnsiTheme="majorHAnsi" w:cstheme="majorHAnsi"/>
          <w:szCs w:val="24"/>
        </w:rPr>
      </w:pPr>
    </w:p>
    <w:p w14:paraId="0273DBB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Post-hoc reconciliation repaired 84 self-inconsistent rows (mechanistic NO with a confident role or direction), and 231 rows with genuine role/direction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t>gene-RCD</w:t>
      </w:r>
      <w:r w:rsidRPr="009B500E">
        <w:rPr>
          <w:rFonts w:asciiTheme="majorHAnsi" w:hAnsiTheme="majorHAnsi" w:cstheme="majorHAnsi"/>
          <w:szCs w:val="24"/>
        </w:rPr>
        <w:t xml:space="preserve"> </w:t>
      </w:r>
      <w:r w:rsidRPr="009B500E">
        <w:rPr>
          <w:rFonts w:asciiTheme="majorHAnsi" w:hAnsiTheme="majorHAnsi" w:cstheme="majorHAnsi"/>
          <w:szCs w:val="24"/>
        </w:rPr>
        <w:lastRenderedPageBreak/>
        <w:t>pairs added to the matrix after the full run (NLRX1 and PPIF with MPT-driven necrosis) were classified separately with the same logic using a five-vote majority, completing 100% pair coverage (21,568/21,568).</w:t>
      </w:r>
    </w:p>
    <w:p w14:paraId="31C1524D" w14:textId="77777777" w:rsidR="00871F46" w:rsidRPr="009B500E" w:rsidRDefault="00871F46" w:rsidP="009B500E">
      <w:pPr>
        <w:spacing w:after="0" w:line="240" w:lineRule="auto"/>
        <w:rPr>
          <w:rFonts w:asciiTheme="majorHAnsi" w:hAnsiTheme="majorHAnsi" w:cstheme="majorHAnsi"/>
          <w:szCs w:val="24"/>
        </w:rPr>
      </w:pPr>
    </w:p>
    <w:p w14:paraId="607F24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Elicit Systematic Review Governance Validation</w:t>
      </w:r>
    </w:p>
    <w:p w14:paraId="08B19CE4"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Rationale. Phase 3 of the RCDome pipeline uses Elicit's systematic review API (</w:t>
      </w:r>
      <w:hyperlink r:id="rId40">
        <w:r w:rsidRPr="009B500E">
          <w:rPr>
            <w:rFonts w:asciiTheme="majorHAnsi" w:hAnsiTheme="majorHAnsi" w:cstheme="majorHAnsi"/>
            <w:color w:val="0563C1"/>
            <w:szCs w:val="24"/>
            <w:u w:val="single"/>
          </w:rPr>
          <w:t>https://elicit.com</w:t>
        </w:r>
      </w:hyperlink>
      <w:r w:rsidRPr="009B500E">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20DC80B7" w14:textId="77777777" w:rsidR="00EA778E" w:rsidRPr="009B500E" w:rsidRDefault="00EA778E" w:rsidP="009B500E">
      <w:pPr>
        <w:spacing w:after="0" w:line="240" w:lineRule="auto"/>
        <w:rPr>
          <w:rFonts w:asciiTheme="majorHAnsi" w:hAnsiTheme="majorHAnsi" w:cstheme="majorHAnsi"/>
          <w:b/>
          <w:szCs w:val="24"/>
        </w:rPr>
      </w:pPr>
    </w:p>
    <w:p w14:paraId="4642B490"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Benchmark Design. </w:t>
      </w:r>
      <w:r w:rsidRPr="009B500E">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815C81D" w14:textId="77777777" w:rsidR="00871F46" w:rsidRPr="009B500E" w:rsidRDefault="00871F46" w:rsidP="009B500E">
      <w:pPr>
        <w:spacing w:after="0" w:line="240" w:lineRule="auto"/>
        <w:rPr>
          <w:rFonts w:asciiTheme="majorHAnsi" w:hAnsiTheme="majorHAnsi" w:cstheme="majorHAnsi"/>
          <w:szCs w:val="24"/>
        </w:rPr>
      </w:pPr>
    </w:p>
    <w:p w14:paraId="46AAC52B"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205AEB26" w14:textId="77777777" w:rsidR="00EA778E" w:rsidRPr="009B500E" w:rsidRDefault="00EA778E" w:rsidP="009B500E">
      <w:pPr>
        <w:spacing w:after="0" w:line="240" w:lineRule="auto"/>
        <w:rPr>
          <w:rFonts w:asciiTheme="majorHAnsi" w:hAnsiTheme="majorHAnsi" w:cstheme="majorHAnsi"/>
          <w:b/>
          <w:szCs w:val="24"/>
        </w:rPr>
      </w:pPr>
    </w:p>
    <w:p w14:paraId="5AFBD331"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Post-Export Governance.</w:t>
      </w:r>
      <w:r w:rsidRPr="009B500E">
        <w:rPr>
          <w:rFonts w:asciiTheme="majorHAnsi" w:hAnsiTheme="majorHAnsi" w:cstheme="majorHAnsi"/>
          <w:szCs w:val="24"/>
        </w:rPr>
        <w:t xml:space="preserve"> 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w:t>
      </w:r>
      <w:r w:rsidRPr="009B500E">
        <w:rPr>
          <w:rFonts w:asciiTheme="majorHAnsi" w:hAnsiTheme="majorHAnsi" w:cstheme="majorHAnsi"/>
          <w:szCs w:val="24"/>
        </w:rPr>
        <w:lastRenderedPageBreak/>
        <w:t>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9E1D619" w14:textId="77777777" w:rsidR="00EA778E" w:rsidRPr="009B500E" w:rsidRDefault="00EA778E" w:rsidP="009B500E">
      <w:pPr>
        <w:spacing w:after="0" w:line="240" w:lineRule="auto"/>
        <w:rPr>
          <w:rFonts w:asciiTheme="majorHAnsi" w:hAnsiTheme="majorHAnsi" w:cstheme="majorHAnsi"/>
          <w:b/>
          <w:szCs w:val="24"/>
        </w:rPr>
      </w:pPr>
    </w:p>
    <w:p w14:paraId="37DF21A6" w14:textId="77777777" w:rsidR="00495FA3" w:rsidRDefault="00921C18"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 xml:space="preserve">Five-Gate Evaluation Framework. </w:t>
      </w:r>
    </w:p>
    <w:p w14:paraId="061AA95C" w14:textId="77777777" w:rsidR="0019489D" w:rsidRPr="009B500E" w:rsidRDefault="00921C18" w:rsidP="009B500E">
      <w:pPr>
        <w:spacing w:after="0" w:line="240" w:lineRule="auto"/>
        <w:rPr>
          <w:rFonts w:asciiTheme="majorHAnsi" w:hAnsiTheme="majorHAnsi" w:cstheme="majorHAnsi"/>
          <w:szCs w:val="24"/>
        </w:rPr>
      </w:pPr>
      <w:r w:rsidRPr="00495FA3">
        <w:rPr>
          <w:rFonts w:asciiTheme="majorHAnsi" w:hAnsiTheme="majorHAnsi" w:cstheme="majorHAnsi"/>
          <w:bCs/>
          <w:szCs w:val="24"/>
        </w:rPr>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r w:rsidR="00495FA3">
        <w:rPr>
          <w:rFonts w:asciiTheme="majorHAnsi" w:hAnsiTheme="majorHAnsi" w:cstheme="majorHAnsi"/>
          <w:szCs w:val="24"/>
        </w:rPr>
      </w:r>
      <w:r w:rsidRPr="009B500E">
        <w:rPr>
          <w:rFonts w:asciiTheme="majorHAnsi" w:hAnsiTheme="majorHAnsi" w:cstheme="majorHAnsi"/>
          <w:szCs w:val="24"/>
        </w:rPr>
      </w:r>
    </w:p>
    <w:p w14:paraId="47DFEFE9" w14:textId="77777777" w:rsidR="00EA778E" w:rsidRPr="009B500E" w:rsidRDefault="00EA778E" w:rsidP="009B500E">
      <w:pPr>
        <w:spacing w:after="0" w:line="240" w:lineRule="auto"/>
        <w:rPr>
          <w:rFonts w:asciiTheme="majorHAnsi" w:hAnsiTheme="majorHAnsi" w:cstheme="majorHAnsi"/>
          <w:b/>
          <w:szCs w:val="24"/>
        </w:rPr>
      </w:pPr>
    </w:p>
    <w:p w14:paraId="75038E0A"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Staged Elicit Extraction and Priority Tiers.</w:t>
      </w:r>
    </w:p>
    <w:p w14:paraId="246D1204"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Pr>
          <w:rFonts w:asciiTheme="majorHAnsi" w:hAnsiTheme="majorHAnsi" w:cstheme="majorHAnsi"/>
          <w:szCs w:val="24"/>
        </w:rPr>
        <w:t>gene-RCD</w:t>
      </w:r>
      <w:r w:rsidRPr="009B500E">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758EB03" w14:textId="77777777" w:rsidR="00EA778E" w:rsidRPr="009B500E" w:rsidRDefault="00EA778E" w:rsidP="009B500E">
      <w:pPr>
        <w:spacing w:after="0" w:line="240" w:lineRule="auto"/>
        <w:rPr>
          <w:rFonts w:asciiTheme="majorHAnsi" w:hAnsiTheme="majorHAnsi" w:cstheme="majorHAnsi"/>
          <w:szCs w:val="24"/>
        </w:rPr>
      </w:pPr>
    </w:p>
    <w:p w14:paraId="793C9778"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Pr>
          <w:rFonts w:asciiTheme="majorHAnsi" w:hAnsiTheme="majorHAnsi" w:cstheme="majorHAnsi"/>
          <w:szCs w:val="24"/>
        </w:rPr>
        <w:t>is</w:t>
      </w:r>
      <w:r w:rsidRPr="009B500E">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248BDE71" w14:textId="77777777" w:rsidR="00BA2B2A" w:rsidRPr="009B500E" w:rsidRDefault="00BA2B2A" w:rsidP="009B500E">
      <w:pPr>
        <w:spacing w:after="0" w:line="240" w:lineRule="auto"/>
        <w:rPr>
          <w:rFonts w:asciiTheme="majorHAnsi" w:hAnsiTheme="majorHAnsi" w:cstheme="majorHAnsi"/>
          <w:szCs w:val="24"/>
        </w:rPr>
      </w:pPr>
    </w:p>
    <w:p w14:paraId="24E154A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Governance Literature Survey.</w:t>
      </w:r>
      <w:r w:rsidRPr="009B500E">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Pr>
          <w:rFonts w:asciiTheme="majorHAnsi" w:hAnsiTheme="majorHAnsi" w:cstheme="majorHAnsi"/>
          <w:szCs w:val="24"/>
        </w:rPr>
        <w:t>RAG</w:t>
      </w:r>
      <w:r w:rsidRPr="009B500E">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7379DFC3" w14:textId="77777777" w:rsidR="000B2C2A" w:rsidRPr="009B500E" w:rsidRDefault="000B2C2A" w:rsidP="009B500E">
      <w:pPr>
        <w:spacing w:after="0" w:line="240" w:lineRule="auto"/>
        <w:rPr>
          <w:rFonts w:asciiTheme="majorHAnsi" w:hAnsiTheme="majorHAnsi" w:cstheme="majorHAnsi"/>
          <w:szCs w:val="24"/>
        </w:rPr>
      </w:pPr>
    </w:p>
    <w:p w14:paraId="258A2C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2G: Consensus Evidence-Channel Classification</w:t>
      </w:r>
    </w:p>
    <w:p w14:paraId="40CCDF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 third, fully independent evidence channel was added through the Consensus academic search engine API. Each gene-RCD pair is queried with a neutral formulation — the gene symbol followed only by “cell death” —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call ceiling.</w:t>
      </w:r>
      <w:r w:rsidR="00705A6F">
        <w:rPr>
          <w:rFonts w:asciiTheme="majorHAnsi" w:hAnsiTheme="majorHAnsi" w:cstheme="majorHAnsi"/>
          <w:szCs w:val="24"/>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p>
    <w:p w14:paraId="0E99FF90" w14:textId="77777777" w:rsidR="00EA778E" w:rsidRPr="00FC261A" w:rsidRDefault="00EA778E" w:rsidP="009B500E">
      <w:pPr>
        <w:spacing w:after="0" w:line="240" w:lineRule="auto"/>
        <w:rPr>
          <w:rFonts w:asciiTheme="majorHAnsi" w:hAnsiTheme="majorHAnsi" w:cstheme="majorHAnsi"/>
          <w:color w:val="EE0000"/>
          <w:szCs w:val="24"/>
        </w:rPr>
      </w:pPr>
    </w:p>
    <w:p w14:paraId="44EDFEB8" w14:textId="77777777" w:rsidR="00925876" w:rsidRPr="009B500E" w:rsidRDefault="00921C18" w:rsidP="009B500E">
      <w:pPr>
        <w:spacing w:after="0" w:line="240" w:lineRule="auto"/>
        <w:rPr>
          <w:rFonts w:asciiTheme="majorHAnsi" w:hAnsiTheme="majorHAnsi" w:cstheme="majorHAnsi"/>
          <w:b/>
          <w:bCs/>
          <w:color w:val="EE0000"/>
          <w:szCs w:val="24"/>
        </w:rPr>
      </w:pPr>
      <w:r w:rsidRPr="009B500E">
        <w:rPr>
          <w:rFonts w:asciiTheme="majorHAnsi" w:hAnsiTheme="majorHAnsi" w:cstheme="majorHAnsi"/>
          <w:b/>
          <w:bCs/>
          <w:szCs w:val="24"/>
        </w:rPr>
        <w:t>RCDome Platform Architecture</w:t>
      </w:r>
    </w:p>
    <w:p w14:paraId="7951B6A7" w14:textId="77777777" w:rsidR="00925876" w:rsidRPr="009B500E" w:rsidRDefault="00921C18" w:rsidP="009B500E">
      <w:pPr>
        <w:spacing w:after="0" w:line="240" w:lineRule="auto"/>
        <w:rPr>
          <w:rFonts w:asciiTheme="majorHAnsi" w:hAnsiTheme="majorHAnsi" w:cstheme="majorHAnsi"/>
          <w:szCs w:val="24"/>
        </w:rPr>
      </w:pPr>
      <w: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 RCD entities (all 53 RCD-related entities, with modal descriptions), Gene Catalog (the complete matrix with a Genes view, a Direction/Role source selector, a death-core preset, and a per-entity comparison), Network, and RCDchat (LLM literature consultation) —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4ED90E64" w14:textId="77777777" w:rsidR="0022059B" w:rsidRDefault="0022059B"/>
    <w:p w14:paraId="7809F78E" w14:textId="77777777" w:rsidR="00533B0E" w:rsidRDefault="00000000">
      <w: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316AEBA3" w14:textId="77777777" w:rsidR="00EA778E" w:rsidRPr="009B500E" w:rsidRDefault="00EA778E" w:rsidP="009B500E">
      <w:pPr>
        <w:spacing w:after="0" w:line="240" w:lineRule="auto"/>
        <w:rPr>
          <w:rFonts w:asciiTheme="majorHAnsi" w:hAnsiTheme="majorHAnsi" w:cstheme="majorHAnsi"/>
          <w:b/>
          <w:bCs/>
          <w:szCs w:val="24"/>
        </w:rPr>
      </w:pPr>
    </w:p>
    <w:p w14:paraId="6DDE992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Extraction Scripts: The complete extraction-pipeline scripts are catalogued in Supplementary Table S10.</w:t>
      </w:r>
      <w:r>
        <w:t xml:space="preserve"> For completeness, TCGA, GEO, CPTAC, CCLE/GDSC/DepMap, STRING, and BioGRID are annotation/PPI sources, not gene extraction sources.</w:t>
      </w:r>
    </w:p>
    <w:p w14:paraId="0FA6CF01" w14:textId="77777777" w:rsidR="00925876" w:rsidRPr="009B500E" w:rsidRDefault="00925876" w:rsidP="009B500E">
      <w:pPr>
        <w:spacing w:after="0" w:line="240" w:lineRule="auto"/>
        <w:rPr>
          <w:rFonts w:asciiTheme="majorHAnsi" w:hAnsiTheme="majorHAnsi" w:cstheme="majorHAnsi"/>
          <w:szCs w:val="24"/>
        </w:rPr>
      </w:pPr>
    </w:p>
    <w:p w14:paraId="0D601E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3B8B46BD" w14:textId="77777777" w:rsidR="00871F46" w:rsidRPr="009B500E" w:rsidRDefault="00871F46" w:rsidP="009B500E">
      <w:pPr>
        <w:spacing w:after="0" w:line="240" w:lineRule="auto"/>
        <w:rPr>
          <w:rFonts w:asciiTheme="majorHAnsi" w:hAnsiTheme="majorHAnsi" w:cstheme="majorHAnsi"/>
          <w:szCs w:val="24"/>
        </w:rPr>
      </w:pPr>
    </w:p>
    <w:p w14:paraId="6925A270" w14:textId="77777777" w:rsidR="00B9076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3D5A476" w14:textId="77777777" w:rsidR="00B9076D" w:rsidRPr="009B500E" w:rsidRDefault="00B9076D" w:rsidP="009B500E">
      <w:pPr>
        <w:spacing w:after="0" w:line="240" w:lineRule="auto"/>
        <w:rPr>
          <w:rFonts w:asciiTheme="majorHAnsi" w:hAnsiTheme="majorHAnsi" w:cstheme="majorHAnsi"/>
          <w:b/>
          <w:szCs w:val="24"/>
        </w:rPr>
      </w:pPr>
    </w:p>
    <w:p w14:paraId="161333C9" w14:textId="77777777" w:rsidR="00EA778E" w:rsidRPr="009B500E" w:rsidRDefault="00EA778E" w:rsidP="009B500E">
      <w:pPr>
        <w:pStyle w:val="Ttulo2"/>
        <w:spacing w:before="0" w:line="240" w:lineRule="auto"/>
        <w:rPr>
          <w:rFonts w:cstheme="majorHAnsi"/>
          <w:sz w:val="24"/>
          <w:szCs w:val="24"/>
        </w:rPr>
      </w:pPr>
    </w:p>
    <w:p w14:paraId="79B67597" w14:textId="77777777" w:rsidR="000C7EE5" w:rsidRPr="009B500E" w:rsidRDefault="00921C18" w:rsidP="009B500E">
      <w:pPr>
        <w:pStyle w:val="Ttulo2"/>
        <w:spacing w:before="0" w:line="240" w:lineRule="auto"/>
        <w:rPr>
          <w:rFonts w:cstheme="majorHAnsi"/>
          <w:sz w:val="24"/>
          <w:szCs w:val="24"/>
        </w:rPr>
      </w:pPr>
      <w:r w:rsidRPr="009B500E">
        <w:rPr>
          <w:rFonts w:cstheme="majorHAnsi"/>
          <w:sz w:val="24"/>
          <w:szCs w:val="24"/>
        </w:rPr>
        <w:t>RESULTS</w:t>
      </w:r>
    </w:p>
    <w:p w14:paraId="67CA1E4F" w14:textId="77777777" w:rsidR="009B500E" w:rsidRDefault="009B500E" w:rsidP="009B500E">
      <w:pPr>
        <w:spacing w:after="0" w:line="240" w:lineRule="auto"/>
        <w:rPr>
          <w:rFonts w:asciiTheme="majorHAnsi" w:hAnsiTheme="majorHAnsi" w:cstheme="majorHAnsi"/>
          <w:b/>
          <w:szCs w:val="24"/>
        </w:rPr>
      </w:pPr>
    </w:p>
    <w:p w14:paraId="4FF9B1A9" w14:textId="77777777" w:rsidR="000C7EE5" w:rsidRPr="009B500E" w:rsidRDefault="00661FF5" w:rsidP="009B500E">
      <w:pPr>
        <w:spacing w:after="0" w:line="240" w:lineRule="auto"/>
        <w:rPr>
          <w:rFonts w:asciiTheme="majorHAnsi" w:hAnsiTheme="majorHAnsi" w:cstheme="majorHAnsi"/>
          <w:szCs w:val="24"/>
        </w:rPr>
      </w:pPr>
      <w:r>
        <w:rPr>
          <w:rFonts w:asciiTheme="majorHAnsi" w:hAnsiTheme="majorHAnsi" w:cstheme="majorHAnsi"/>
          <w:b/>
          <w:szCs w:val="24"/>
        </w:rPr>
        <w:t xml:space="preserve">The RCDome </w:t>
      </w:r>
      <w:r w:rsidR="00921C18" w:rsidRPr="009B500E">
        <w:rPr>
          <w:rFonts w:asciiTheme="majorHAnsi" w:hAnsiTheme="majorHAnsi" w:cstheme="majorHAnsi"/>
          <w:b/>
          <w:szCs w:val="24"/>
        </w:rPr>
        <w:t>Compendium Composition</w:t>
      </w:r>
    </w:p>
    <w:p w14:paraId="39218EFD" w14:textId="77777777" w:rsidR="00925876"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57775DA5" w14:textId="77777777" w:rsidR="008A62B5" w:rsidRPr="009B500E" w:rsidRDefault="008A62B5" w:rsidP="009B500E">
      <w:pPr>
        <w:spacing w:after="0" w:line="240" w:lineRule="auto"/>
        <w:rPr>
          <w:rFonts w:asciiTheme="majorHAnsi" w:hAnsiTheme="majorHAnsi" w:cstheme="majorHAnsi"/>
          <w:szCs w:val="24"/>
        </w:rPr>
      </w:pPr>
    </w:p>
    <w:p w14:paraId="195065B3" w14:textId="77777777" w:rsidR="00661FF5"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11 synonym merges) (Dataset S1). These comprise 19 RCD modalities, 7 subtypes, 2 triggers, 13 functional/contextual categories, and 12 generic/umbrella/taxon concepts (Supplementary Table S3).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 a form formally excluded by the five-criteria admission framework (see Material and Methods) —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C5A46F0" w14:textId="77777777" w:rsidR="00661FF5" w:rsidRDefault="00661FF5" w:rsidP="009B500E">
      <w:pPr>
        <w:spacing w:after="0" w:line="240" w:lineRule="auto"/>
        <w:rPr>
          <w:rFonts w:asciiTheme="majorHAnsi" w:hAnsiTheme="majorHAnsi" w:cstheme="majorHAnsi"/>
          <w:szCs w:val="24"/>
        </w:rPr>
      </w:pPr>
    </w:p>
    <w:p w14:paraId="6E6046E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53 RCD-related entities, gene coverage is highly heterogeneous: the largest forms, Apoptosis (6,229 entries) and Autophagy (4,790),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 ten RCD-specific curated databases (FerrDB v3, RCDdb, iPCD, LncRCD, iLIR, HADb, HAMdb, ATD, AMT-DB, ncFO), five pathway and molecular databases (KEGG, Reactome, Gene Ontology, MSigDB/GSEA, WikiPathways), NCBI Gene, and six omic-annotation resources (TCGA, GEO, CPTAC, CCLE, GDSC, DepMap), supplemented by the AI-assisted Elicit extraction (20 independent resources, Supplementary Table S2) —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r w:rsidRPr="009B500E">
        <w:rPr>
          <w:rFonts w:asciiTheme="majorHAnsi" w:hAnsiTheme="majorHAnsi" w:cstheme="majorHAnsi"/>
          <w:szCs w:val="24"/>
        </w:rPr>
      </w:r>
    </w:p>
    <w:p w14:paraId="7E8C93A2" w14:textId="77777777" w:rsidR="004C566E" w:rsidRPr="009B500E" w:rsidRDefault="004C566E" w:rsidP="009B500E">
      <w:pPr>
        <w:spacing w:after="0" w:line="240" w:lineRule="auto"/>
        <w:rPr>
          <w:rFonts w:asciiTheme="majorHAnsi" w:hAnsiTheme="majorHAnsi" w:cstheme="majorHAnsi"/>
          <w:b/>
          <w:szCs w:val="24"/>
        </w:rPr>
      </w:pPr>
    </w:p>
    <w:p w14:paraId="7208A2F6"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 entity census and operational definitions</w:t>
      </w:r>
    </w:p>
    <w:p w14:paraId="5060B3F9" w14:textId="77777777" w:rsidR="00A82E1A" w:rsidRPr="009B500E" w:rsidRDefault="00000000" w:rsidP="009B500E">
      <w:pPr>
        <w:spacing w:after="0" w:line="240" w:lineRule="auto"/>
        <w:rPr>
          <w:rFonts w:asciiTheme="majorHAnsi" w:hAnsiTheme="majorHAnsi" w:cstheme="majorHAnsi"/>
          <w:szCs w:val="24"/>
        </w:rPr>
      </w:pPr>
      <w: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 of which five (cuproptosis, disulfidptosis, erebosis, alkaliptosis, and oxeiptosis) were not described by the NCCD and had been AI-extracted from a 6,603-PDF corpus and human-validated —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 the pre- and post-adjudication levels and the Q1–Q13 evidence trail under the BG0–BG6 hard gates — is documented in Supplementary Table S12.</w:t>
      </w:r>
    </w:p>
    <w:p w14:paraId="28E533FF" w14:textId="77777777" w:rsidR="009B500E" w:rsidRDefault="009B500E" w:rsidP="009B500E">
      <w:pPr>
        <w:spacing w:after="0" w:line="240" w:lineRule="auto"/>
        <w:rPr>
          <w:rFonts w:asciiTheme="majorHAnsi" w:hAnsiTheme="majorHAnsi" w:cstheme="majorHAnsi"/>
          <w:szCs w:val="24"/>
        </w:rPr>
      </w:pPr>
    </w:p>
    <w:p w14:paraId="7C087D9F"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6CC8419B" w14:textId="77777777" w:rsidR="009B500E" w:rsidRDefault="009B500E" w:rsidP="009B500E">
      <w:pPr>
        <w:spacing w:after="0" w:line="240" w:lineRule="auto"/>
        <w:rPr>
          <w:rFonts w:asciiTheme="majorHAnsi" w:hAnsiTheme="majorHAnsi" w:cstheme="majorHAnsi"/>
          <w:szCs w:val="24"/>
        </w:rPr>
      </w:pPr>
    </w:p>
    <w:p w14:paraId="5989D975" w14:textId="77777777" w:rsidR="00A82E1A" w:rsidRPr="009B500E" w:rsidRDefault="00000000" w:rsidP="009B500E">
      <w:pPr>
        <w:spacing w:after="0" w:line="240" w:lineRule="auto"/>
        <w:rPr>
          <w:rFonts w:asciiTheme="majorHAnsi" w:hAnsiTheme="majorHAnsi" w:cstheme="majorHAnsi"/>
          <w:szCs w:val="24"/>
        </w:rPr>
      </w:pPr>
      <w:r>
        <w:t xml:space="preserve">Each entity's </w:t>
      </w:r>
      <w:r w:rsidR="00661FF5">
        <w:t xml:space="preserve">operational </w:t>
      </w:r>
      <w: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RS1–RS6 (4/4/4/4/5/5) with overall score S = 4.15; and the full provenance chain (founding PMID 16910766, Lang </w:t>
      </w:r>
      <w:r>
        <w:rPr>
          <w:i/>
        </w:rPr>
        <w:t>et al.</w:t>
      </w:r>
      <w:r>
        <w:t xml:space="preserve"> 2006; authoring source </w:t>
      </w:r>
      <w:r>
        <w:lastRenderedPageBreak/>
        <w:t xml:space="preserve">Rodrigues </w:t>
      </w:r>
      <w:r>
        <w:rPr>
          <w:i/>
        </w:rPr>
        <w:t>et al.</w:t>
      </w:r>
      <w:r>
        <w:t>, RCDome; source databases Elicit_Phase3 and NCBI_Gene; channels B and E).</w:t>
      </w:r>
    </w:p>
    <w:p w14:paraId="18684AFA" w14:textId="77777777" w:rsidR="004B02F0" w:rsidRDefault="004B02F0" w:rsidP="009B500E">
      <w:pPr>
        <w:spacing w:after="0" w:line="240" w:lineRule="auto"/>
        <w:rPr>
          <w:rFonts w:asciiTheme="majorHAnsi" w:hAnsiTheme="majorHAnsi" w:cstheme="majorHAnsi"/>
          <w:szCs w:val="24"/>
        </w:rPr>
      </w:pPr>
    </w:p>
    <w:p w14:paraId="74111AC1" w14:textId="77777777" w:rsidR="00A82E1A" w:rsidRPr="009B500E" w:rsidRDefault="00000000" w:rsidP="009B500E">
      <w:pPr>
        <w:spacing w:after="0" w:line="240" w:lineRule="auto"/>
        <w:rPr>
          <w:rFonts w:asciiTheme="majorHAnsi" w:hAnsiTheme="majorHAnsi" w:cstheme="majorHAnsi"/>
          <w:szCs w:val="24"/>
        </w:rPr>
      </w:pPr>
      <w: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 using PMC full text where available and Consensus full-text-derived takeaways otherwise —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r>
        <w:rPr>
          <w:i/>
        </w:rPr>
      </w:r>
      <w:r/>
    </w:p>
    <w:p w14:paraId="4F3C5852" w14:textId="77777777" w:rsidR="004B02F0" w:rsidRDefault="004B02F0" w:rsidP="009B500E">
      <w:pPr>
        <w:spacing w:after="0" w:line="240" w:lineRule="auto"/>
        <w:rPr>
          <w:rFonts w:asciiTheme="majorHAnsi" w:hAnsiTheme="majorHAnsi" w:cstheme="majorHAnsi"/>
          <w:szCs w:val="24"/>
        </w:rPr>
      </w:pPr>
    </w:p>
    <w:p w14:paraId="59152584" w14:textId="77777777" w:rsidR="00A82E1A" w:rsidRPr="009B500E" w:rsidRDefault="00000000" w:rsidP="009B500E">
      <w:pPr>
        <w:spacing w:after="0" w:line="240" w:lineRule="auto"/>
        <w:rPr>
          <w:rFonts w:asciiTheme="majorHAnsi" w:hAnsiTheme="majorHAnsi" w:cstheme="majorHAnsi"/>
          <w:szCs w:val="24"/>
        </w:rPr>
      </w:pPr>
      <w:r>
        <w:t>Four of the de novo drafts — lysoptosis, PANoptosis, regulated necrosis, and triaptosis —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r>
        <w:rPr>
          <w:i/>
        </w:rPr>
      </w:r>
      <w:r/>
    </w:p>
    <w:p w14:paraId="1B4D3017" w14:textId="77777777" w:rsidR="004B02F0" w:rsidRDefault="004B02F0" w:rsidP="009B500E">
      <w:pPr>
        <w:spacing w:after="0" w:line="240" w:lineRule="auto"/>
        <w:rPr>
          <w:rFonts w:asciiTheme="majorHAnsi" w:hAnsiTheme="majorHAnsi" w:cstheme="majorHAnsi"/>
          <w:szCs w:val="24"/>
        </w:rPr>
      </w:pPr>
    </w:p>
    <w:p w14:paraId="7B3AB4D9" w14:textId="2BA92CEA" w:rsidR="0065188A" w:rsidRPr="009B500E" w:rsidRDefault="00000000" w:rsidP="009B500E">
      <w:pPr>
        <w:spacing w:after="0" w:line="240" w:lineRule="auto"/>
        <w:rPr>
          <w:rFonts w:asciiTheme="majorHAnsi" w:hAnsiTheme="majorHAnsi" w:cstheme="majorHAnsi"/>
          <w:szCs w:val="24"/>
        </w:rPr>
      </w:pPr>
      <w:commentRangeStart w:id="0"/>
      <w:r w:rsidRPr="002E2E0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(Supplementary Table S11).</w:t>
      </w:r>
      <w:r w:rsidRPr="009B500E">
        <w:rPr>
          <w:rFonts w:asciiTheme="majorHAnsi" w:hAnsiTheme="majorHAnsi" w:cstheme="majorHAnsi"/>
          <w:szCs w:val="24"/>
        </w:rPr>
      </w:r>
      <w:r w:rsidRPr="002E2E0A">
        <w:rPr>
          <w:rFonts w:asciiTheme="majorHAnsi" w:hAnsiTheme="majorHAnsi" w:cstheme="majorHAnsi"/>
          <w:szCs w:val="24"/>
          <w:highlight w:val="yellow"/>
        </w:rPr>
      </w:r>
      <w:r w:rsidRPr="009B500E">
        <w:rPr>
          <w:rFonts w:asciiTheme="majorHAnsi" w:hAnsiTheme="majorHAnsi" w:cstheme="majorHAnsi"/>
          <w:szCs w:val="24"/>
        </w:rPr>
      </w:r>
      <w:commentRangeEnd w:id="0"/>
      <w:r w:rsidR="002E2E0A">
        <w:rPr>
          <w:rStyle w:val="Refdecomentrio"/>
        </w:rPr>
      </w:r>
      <w:r w:rsidRPr="009B500E">
        <w:rPr>
          <w:rFonts w:asciiTheme="majorHAnsi" w:hAnsiTheme="majorHAnsi" w:cstheme="majorHAnsi"/>
          <w:szCs w:val="24"/>
        </w:rPr>
      </w:r>
      <w:r w:rsidRPr="002E2E0A">
        <w:rPr>
          <w:rFonts w:asciiTheme="majorHAnsi" w:hAnsiTheme="majorHAnsi" w:cstheme="majorHAnsi"/>
          <w:szCs w:val="24"/>
          <w:highlight w:val="yellow"/>
        </w:rPr>
      </w:r>
      <w:r w:rsidR="002E2E0A" w:rsidRPr="002E2E0A">
        <w:rPr>
          <w:rFonts w:asciiTheme="majorHAnsi" w:hAnsiTheme="majorHAnsi" w:cstheme="majorHAnsi"/>
          <w:szCs w:val="24"/>
          <w:highlight w:val="yellow"/>
        </w:rPr>
      </w:r>
      <w:r w:rsidRPr="009B500E">
        <w:rPr>
          <w:rFonts w:asciiTheme="majorHAnsi" w:hAnsiTheme="majorHAnsi" w:cstheme="majorHAnsi"/>
          <w:szCs w:val="24"/>
        </w:rPr>
      </w:r>
      <w:r w:rsidRPr="00661FF5">
        <w:rPr>
          <w:rFonts w:asciiTheme="majorHAnsi" w:hAnsiTheme="majorHAnsi" w:cstheme="majorHAnsi"/>
          <w:szCs w:val="24"/>
          <w:highlight w:val="green"/>
        </w:rPr>
      </w:r>
    </w:p>
    <w:p w14:paraId="1638E883" w14:textId="77777777" w:rsidR="004B02F0" w:rsidRDefault="004B02F0" w:rsidP="009B500E">
      <w:pPr>
        <w:spacing w:after="0" w:line="240" w:lineRule="auto"/>
        <w:rPr>
          <w:rFonts w:asciiTheme="majorHAnsi" w:hAnsiTheme="majorHAnsi" w:cstheme="majorHAnsi"/>
          <w:b/>
          <w:szCs w:val="24"/>
        </w:rPr>
      </w:pPr>
    </w:p>
    <w:p w14:paraId="203CB0D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Compendium Completeness</w:t>
      </w:r>
    </w:p>
    <w:p w14:paraId="535944B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r w:rsidRPr="00E23161">
        <w:rPr>
          <w:rFonts w:asciiTheme="majorHAnsi" w:hAnsiTheme="majorHAnsi" w:cstheme="majorHAnsi"/>
          <w:color w:val="auto"/>
          <w:szCs w:val="24"/>
        </w:rPr>
      </w:r>
      <w:r w:rsidRPr="00E23161">
        <w:rPr>
          <w:rFonts w:asciiTheme="majorHAnsi" w:hAnsiTheme="majorHAnsi" w:cstheme="majorHAnsi"/>
          <w:color w:val="auto"/>
          <w:szCs w:val="24"/>
        </w:rPr>
      </w:r>
      <w:r w:rsidRPr="009B500E">
        <w:rPr>
          <w:rFonts w:asciiTheme="majorHAnsi" w:hAnsiTheme="majorHAnsi" w:cstheme="majorHAnsi"/>
          <w:szCs w:val="24"/>
        </w:rPr>
      </w:r>
      <w:r/>
    </w:p>
    <w:p w14:paraId="22AD9F5C" w14:textId="77777777" w:rsidR="00EA778E" w:rsidRPr="009B500E" w:rsidRDefault="00EA778E" w:rsidP="009B500E">
      <w:pPr>
        <w:spacing w:after="0" w:line="240" w:lineRule="auto"/>
        <w:rPr>
          <w:rFonts w:asciiTheme="majorHAnsi" w:hAnsiTheme="majorHAnsi" w:cstheme="majorHAnsi"/>
          <w:szCs w:val="24"/>
        </w:rPr>
      </w:pPr>
    </w:p>
    <w:p w14:paraId="79C74A76" w14:textId="77777777" w:rsidR="000C7EE5" w:rsidRPr="009B500E" w:rsidRDefault="00921C18" w:rsidP="009B500E">
      <w:pPr>
        <w:spacing w:after="0" w:line="240" w:lineRule="auto"/>
        <w:rPr>
          <w:rFonts w:asciiTheme="majorHAnsi" w:hAnsiTheme="majorHAnsi" w:cstheme="majorHAnsi"/>
          <w:szCs w:val="24"/>
        </w:rPr>
      </w:pPr>
      <w:r>
        <w:rPr>
          <w:b/>
        </w:rPr>
        <w:t>Phase 2A/D Validation: Scale and Coverage</w:t>
      </w:r>
    </w:p>
    <w:p w14:paraId="6D8079FD" w14:textId="77777777" w:rsidR="00CA1683" w:rsidRDefault="00000000">
      <w: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74D4D91E" w14:textId="77777777" w:rsidR="00EA778E" w:rsidRPr="009B500E" w:rsidRDefault="00EA778E" w:rsidP="009B500E">
      <w:pPr>
        <w:spacing w:after="0" w:line="240" w:lineRule="auto"/>
        <w:rPr>
          <w:rFonts w:asciiTheme="majorHAnsi" w:hAnsiTheme="majorHAnsi" w:cstheme="majorHAnsi"/>
          <w:szCs w:val="24"/>
        </w:rPr>
      </w:pPr>
    </w:p>
    <w:p w14:paraId="249A37A1"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Validation Performance</w:t>
      </w:r>
    </w:p>
    <w:p w14:paraId="4B54EC56"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13FB78B6" w14:textId="77777777" w:rsidR="00EA778E" w:rsidRPr="009B500E" w:rsidRDefault="00EA778E" w:rsidP="009B500E">
      <w:pPr>
        <w:spacing w:after="0" w:line="240" w:lineRule="auto"/>
        <w:rPr>
          <w:rFonts w:asciiTheme="majorHAnsi" w:hAnsiTheme="majorHAnsi" w:cstheme="majorHAnsi"/>
          <w:b/>
          <w:szCs w:val="24"/>
        </w:rPr>
      </w:pPr>
    </w:p>
    <w:p w14:paraId="31528CF3"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Evidence Tier Distribution</w:t>
      </w:r>
    </w:p>
    <w:p w14:paraId="46F60DE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68806FFF"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ET1 (Gold Standard), 2,864 pairs (12.7%), reflects multi-database consensus with RCDdb PMID support</w:t>
      </w:r>
    </w:p>
    <w:p w14:paraId="22556700"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ET2 (Strong Evidence), 5,686 pairs (25.3%), reflects three or more independent sources or LLM-confirmed</w:t>
      </w:r>
    </w:p>
    <w:p w14:paraId="415D2AE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ET3 (Moderate Evidence), 8,212 pairs (36.5%), reflects two sources with LLM partial confirmation</w:t>
      </w:r>
    </w:p>
    <w:p w14:paraId="2E442A87"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ET4 (Weak Evidence), 5,711 pairs (25.4%), reflects single source without LLM confirmation, or LLM unable to verify</w:t>
      </w:r>
    </w:p>
    <w:p w14:paraId="08203684" w14:textId="77777777" w:rsidR="00EA778E" w:rsidRPr="009B500E" w:rsidRDefault="00EA778E" w:rsidP="009B500E">
      <w:pPr>
        <w:spacing w:after="0" w:line="240" w:lineRule="auto"/>
        <w:rPr>
          <w:rFonts w:asciiTheme="majorHAnsi" w:hAnsiTheme="majorHAnsi" w:cstheme="majorHAnsi"/>
          <w:b/>
          <w:szCs w:val="24"/>
        </w:rPr>
      </w:pPr>
    </w:p>
    <w:p w14:paraId="56D825A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Mechanistic Classification</w:t>
      </w:r>
    </w:p>
    <w:p w14:paraId="3D28ED8E"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662E266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MECHANISTIC, 3,063 pairs (13.6%), validated by both LLM knowledge and PubMed abstracts</w:t>
      </w:r>
    </w:p>
    <w:p w14:paraId="1384BBC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LITERATURE_GAP, 1,519 pairs (6.8%), LLM training recognizes but abstracts lack explicit statements ; CONTEXT_GAP, 6,170 pairs (27.5%), PubMed confirms but LLM training does not recognize ; CO_OCCURRENCE, 2,416 pairs (10.8%), high paper counts but no mechanistic evidence ; INSUFFICIENT_DATA, 8,863 pairs (39.4%), few papers; LLM cannot determine involvement ; DATABASE_ONLY, 442 pairs (2.0%), gene and RCD term never co-occur in PubMed ; TECHNICAL_FAILURE, 0 pairs (0%), no API failures in the final run</w:t>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p>
    <w:p w14:paraId="662574A6" w14:textId="77777777" w:rsidR="00EA778E" w:rsidRPr="009B500E" w:rsidRDefault="00EA778E" w:rsidP="009B500E">
      <w:pPr>
        <w:spacing w:after="0" w:line="240" w:lineRule="auto"/>
        <w:rPr>
          <w:rFonts w:asciiTheme="majorHAnsi" w:hAnsiTheme="majorHAnsi" w:cstheme="majorHAnsi"/>
          <w:szCs w:val="24"/>
        </w:rPr>
      </w:pPr>
    </w:p>
    <w:p w14:paraId="45F8E197"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Together, the seven mechanistic classes account for all 22,473 validated rows.</w:t>
      </w:r>
    </w:p>
    <w:p w14:paraId="77F33D29" w14:textId="77777777" w:rsidR="004B02F0" w:rsidRDefault="004B02F0" w:rsidP="009B500E">
      <w:pPr>
        <w:spacing w:after="0" w:line="240" w:lineRule="auto"/>
        <w:rPr>
          <w:rFonts w:asciiTheme="majorHAnsi" w:hAnsiTheme="majorHAnsi" w:cstheme="majorHAnsi"/>
          <w:szCs w:val="24"/>
        </w:rPr>
      </w:pPr>
    </w:p>
    <w:p w14:paraId="497E4FE5"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 265 regulators (155 pro-survival, 110 pro-death) and 16 executors — while 150 were literature gaps, 471 context gaps, 428 co-occurrence, 316 insufficient-data, and 185 database-only. Overall, 1,576 of the 1,832 pairs (86.0%) now carry at least one PMID.</w:t>
      </w:r>
    </w:p>
    <w:p w14:paraId="0DCBE3BA" w14:textId="77777777" w:rsidR="00EA778E" w:rsidRPr="009B500E" w:rsidRDefault="00EA778E" w:rsidP="009B500E">
      <w:pPr>
        <w:spacing w:after="0" w:line="240" w:lineRule="auto"/>
        <w:rPr>
          <w:rFonts w:asciiTheme="majorHAnsi" w:hAnsiTheme="majorHAnsi" w:cstheme="majorHAnsi"/>
          <w:b/>
          <w:szCs w:val="24"/>
        </w:rPr>
      </w:pPr>
    </w:p>
    <w:p w14:paraId="61EC20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Results</w:t>
      </w:r>
    </w:p>
    <w:p w14:paraId="3AB138D9"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Extraction Summary</w:t>
      </w:r>
      <w:r w:rsidRPr="009B500E">
        <w:rPr>
          <w:rFonts w:asciiTheme="majorHAnsi" w:hAnsiTheme="majorHAnsi" w:cstheme="majorHAnsi"/>
          <w:bCs/>
          <w:szCs w:val="24"/>
        </w:rPr>
        <w:t>. 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w:t>
      </w:r>
    </w:p>
    <w:p w14:paraId="3BDEA12B" w14:textId="77777777" w:rsidR="00B204AE" w:rsidRPr="009B500E" w:rsidRDefault="00B204AE" w:rsidP="009B500E">
      <w:pPr>
        <w:spacing w:after="0" w:line="240" w:lineRule="auto"/>
        <w:rPr>
          <w:rFonts w:asciiTheme="majorHAnsi" w:hAnsiTheme="majorHAnsi" w:cstheme="majorHAnsi"/>
          <w:szCs w:val="24"/>
        </w:rPr>
      </w:pPr>
    </w:p>
    <w:p w14:paraId="66D9BB45" w14:textId="77777777" w:rsidR="0019489D" w:rsidRPr="009B500E" w:rsidRDefault="00921C18" w:rsidP="009B500E">
      <w:pPr>
        <w:spacing w:after="0" w:line="240" w:lineRule="auto"/>
        <w:rPr>
          <w:rFonts w:asciiTheme="majorHAnsi" w:hAnsiTheme="majorHAnsi" w:cstheme="majorHAnsi"/>
          <w:szCs w:val="24"/>
        </w:rPr>
      </w:pPr>
      <w:r w:rsidRPr="00916CE4">
        <w:rPr>
          <w:bCs/>
          <w:i/>
        </w:rPr>
        <w:t>The raw and post-governance record counts are equal (784) because the post-export governance normalizes roles (192 EXECUTOR-to-REGULATOR downgrades) rather than removing records; zero records were rejected by the allow-list filter.</w:t>
      </w:r>
    </w:p>
    <w:p w14:paraId="49F23F4D" w14:textId="77777777" w:rsidR="00EA778E" w:rsidRPr="009B500E" w:rsidRDefault="00EA778E" w:rsidP="009B500E">
      <w:pPr>
        <w:spacing w:after="0" w:line="240" w:lineRule="auto"/>
        <w:rPr>
          <w:rFonts w:asciiTheme="majorHAnsi" w:hAnsiTheme="majorHAnsi" w:cstheme="majorHAnsi"/>
          <w:b/>
          <w:szCs w:val="24"/>
        </w:rPr>
      </w:pPr>
    </w:p>
    <w:p w14:paraId="6D7342C3"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Gate Results. All five Elicit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r w:rsidRPr="009B500E">
        <w:rPr>
          <w:rFonts w:asciiTheme="majorHAnsi" w:hAnsiTheme="majorHAnsi" w:cstheme="majorHAnsi"/>
          <w:bCs/>
          <w:szCs w:val="24"/>
        </w:rPr>
      </w:r>
      <w:r w:rsidRPr="00707921">
        <w:rPr>
          <w:rFonts w:asciiTheme="majorHAnsi" w:hAnsiTheme="majorHAnsi" w:cstheme="majorHAnsi"/>
          <w:bCs/>
          <w:szCs w:val="24"/>
          <w:highlight w:val="green"/>
        </w:rPr>
      </w:r>
      <w:r w:rsidRPr="009B500E">
        <w:rPr>
          <w:rFonts w:asciiTheme="majorHAnsi" w:hAnsiTheme="majorHAnsi" w:cstheme="majorHAnsi"/>
          <w:bCs/>
          <w:szCs w:val="24"/>
        </w:rPr>
      </w:r>
    </w:p>
    <w:p w14:paraId="79D53237" w14:textId="77777777" w:rsidR="00EA778E" w:rsidRPr="009B500E" w:rsidRDefault="00EA778E" w:rsidP="009B500E">
      <w:pPr>
        <w:spacing w:after="0" w:line="240" w:lineRule="auto"/>
        <w:rPr>
          <w:rFonts w:asciiTheme="majorHAnsi" w:hAnsiTheme="majorHAnsi" w:cstheme="majorHAnsi"/>
          <w:b/>
          <w:color w:val="EE0000"/>
          <w:szCs w:val="24"/>
        </w:rPr>
      </w:pPr>
    </w:p>
    <w:p w14:paraId="02F46018"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Governance Impact.</w:t>
      </w:r>
      <w:r w:rsidRPr="009B500E">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741732C9" w14:textId="77777777" w:rsidR="00707921" w:rsidRDefault="00707921" w:rsidP="009B500E">
      <w:pPr>
        <w:spacing w:after="0" w:line="240" w:lineRule="auto"/>
        <w:rPr>
          <w:rFonts w:asciiTheme="majorHAnsi" w:hAnsiTheme="majorHAnsi" w:cstheme="majorHAnsi"/>
          <w:szCs w:val="24"/>
        </w:rPr>
      </w:pPr>
    </w:p>
    <w:p w14:paraId="39044075" w14:textId="77777777" w:rsidR="0019489D" w:rsidRPr="009B500E" w:rsidRDefault="00921C18" w:rsidP="009B500E">
      <w:pPr>
        <w:spacing w:after="0" w:line="240" w:lineRule="auto"/>
        <w:rPr>
          <w:rFonts w:asciiTheme="majorHAnsi" w:hAnsiTheme="majorHAnsi" w:cstheme="majorHAnsi"/>
          <w:color w:val="EE0000"/>
          <w:szCs w:val="24"/>
        </w:rPr>
      </w:pPr>
      <w:r w:rsidRPr="00707921">
        <w:rPr>
          <w:rFonts w:asciiTheme="majorHAnsi" w:hAnsiTheme="majorHAnsi" w:cstheme="majorHAnsi"/>
          <w:b/>
          <w:bCs/>
          <w:szCs w:val="24"/>
        </w:rPr>
        <w:lastRenderedPageBreak/>
        <w:t>Scalability Assessment</w:t>
      </w:r>
      <w:r w:rsidRPr="009B500E">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7329A796" w14:textId="77777777" w:rsidR="00EA778E" w:rsidRPr="009B500E" w:rsidRDefault="00EA778E" w:rsidP="009B500E">
      <w:pPr>
        <w:spacing w:after="0" w:line="240" w:lineRule="auto"/>
        <w:rPr>
          <w:rFonts w:asciiTheme="majorHAnsi" w:hAnsiTheme="majorHAnsi" w:cstheme="majorHAnsi"/>
          <w:b/>
          <w:szCs w:val="24"/>
        </w:rPr>
      </w:pPr>
    </w:p>
    <w:p w14:paraId="200F1297"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Comparison with Pre-Governance Baseline. 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(Figure 2B). The governance framework does not merely improve extraction quality -- it transforms an unreliable AI extraction into a verifiable, auditable evidence pipeline.</w:t>
      </w:r>
      <w:r w:rsidRPr="009B500E">
        <w:rPr>
          <w:rFonts w:asciiTheme="majorHAnsi" w:hAnsiTheme="majorHAnsi" w:cstheme="majorHAnsi"/>
          <w:szCs w:val="24"/>
        </w:rPr>
      </w:r>
    </w:p>
    <w:p w14:paraId="7D48F050" w14:textId="77777777" w:rsidR="00EA778E" w:rsidRPr="009B500E" w:rsidRDefault="00EA778E" w:rsidP="009B500E">
      <w:pPr>
        <w:spacing w:after="0" w:line="240" w:lineRule="auto"/>
        <w:rPr>
          <w:rFonts w:asciiTheme="majorHAnsi" w:hAnsiTheme="majorHAnsi" w:cstheme="majorHAnsi"/>
          <w:b/>
          <w:szCs w:val="24"/>
        </w:rPr>
      </w:pPr>
    </w:p>
    <w:p w14:paraId="72381583"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Search Depth Determination.</w:t>
      </w:r>
    </w:p>
    <w:p w14:paraId="6C9E2485"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09EBEBBF" w14:textId="77777777" w:rsidR="00EA778E" w:rsidRPr="009B500E" w:rsidRDefault="00EA778E" w:rsidP="009B500E">
      <w:pPr>
        <w:spacing w:after="0" w:line="240" w:lineRule="auto"/>
        <w:rPr>
          <w:rFonts w:asciiTheme="majorHAnsi" w:hAnsiTheme="majorHAnsi" w:cstheme="majorHAnsi"/>
          <w:szCs w:val="24"/>
        </w:rPr>
      </w:pPr>
    </w:p>
    <w:p w14:paraId="3ABFA161"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49ED968" w14:textId="77777777" w:rsidR="00EA778E" w:rsidRPr="009B500E" w:rsidRDefault="00EA778E" w:rsidP="009B500E">
      <w:pPr>
        <w:spacing w:after="0" w:line="240" w:lineRule="auto"/>
        <w:rPr>
          <w:rFonts w:asciiTheme="majorHAnsi" w:hAnsiTheme="majorHAnsi" w:cstheme="majorHAnsi"/>
          <w:szCs w:val="24"/>
        </w:rPr>
      </w:pPr>
    </w:p>
    <w:p w14:paraId="3D075C73"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t>
      </w:r>
      <w:r w:rsidRPr="009B500E">
        <w:rPr>
          <w:rFonts w:asciiTheme="majorHAnsi" w:hAnsiTheme="majorHAnsi" w:cstheme="majorHAnsi"/>
          <w:szCs w:val="24"/>
        </w:rPr>
        <w:lastRenderedPageBreak/>
        <w:t>was predominantly PROMOTES (2,397) versus PROTECTS (963), with 1,392 genes required for death. Evidence type: GENETIC_PERTURBATION 2,079; EXPRESSION_CORRELATION 801; PHARMACOLOGICAL 670; CITATION_ONLY 3.</w:t>
      </w:r>
    </w:p>
    <w:p w14:paraId="5E72704E" w14:textId="77777777" w:rsidR="00EA778E" w:rsidRPr="009B500E" w:rsidRDefault="00EA778E" w:rsidP="009B500E">
      <w:pPr>
        <w:spacing w:after="0" w:line="240" w:lineRule="auto"/>
        <w:rPr>
          <w:rFonts w:asciiTheme="majorHAnsi" w:hAnsiTheme="majorHAnsi" w:cstheme="majorHAnsi"/>
          <w:szCs w:val="24"/>
        </w:rPr>
      </w:pPr>
    </w:p>
    <w:p w14:paraId="674B59F1"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50C66B2F" w14:textId="77777777" w:rsidR="00EA778E" w:rsidRPr="009B500E" w:rsidRDefault="00EA778E" w:rsidP="009B500E">
      <w:pPr>
        <w:spacing w:after="0" w:line="240" w:lineRule="auto"/>
        <w:rPr>
          <w:rFonts w:asciiTheme="majorHAnsi" w:hAnsiTheme="majorHAnsi" w:cstheme="majorHAnsi"/>
          <w:szCs w:val="24"/>
        </w:rPr>
      </w:pPr>
    </w:p>
    <w:p w14:paraId="670AD4D8"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2C full-text Europe PMC recovery added 3,058 MECHANISTIC classifications, in addition to the 3,063 MECHANISTIC pairs from Phase 2A/D abstract validation.</w:t>
      </w:r>
    </w:p>
    <w:p w14:paraId="25945C74"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921 unique full-text papers in the deep layer versus 8,253 PMIDs and 9,145 DOIs in the Elicit layer, totaling 18,300 unique papers. Only 19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7AB9CE4" w14:textId="77777777" w:rsidR="00EA778E" w:rsidRPr="009B500E" w:rsidRDefault="00EA778E" w:rsidP="009B500E">
      <w:pPr>
        <w:spacing w:after="0" w:line="240" w:lineRule="auto"/>
        <w:rPr>
          <w:rFonts w:asciiTheme="majorHAnsi" w:hAnsiTheme="majorHAnsi" w:cstheme="majorHAnsi"/>
          <w:szCs w:val="24"/>
        </w:rPr>
      </w:pPr>
    </w:p>
    <w:p w14:paraId="1DAEAD00"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512F8821" w14:textId="77777777" w:rsidR="00EA778E" w:rsidRPr="009B500E" w:rsidRDefault="00EA778E" w:rsidP="009B500E">
      <w:pPr>
        <w:spacing w:after="0" w:line="240" w:lineRule="auto"/>
        <w:rPr>
          <w:rFonts w:asciiTheme="majorHAnsi" w:hAnsiTheme="majorHAnsi" w:cstheme="majorHAnsi"/>
          <w:szCs w:val="24"/>
        </w:rPr>
      </w:pPr>
    </w:p>
    <w:p w14:paraId="27863D7F"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Governance Literature Survey Results</w:t>
      </w:r>
      <w:r w:rsidRPr="009B500E">
        <w:rPr>
          <w:rFonts w:asciiTheme="majorHAnsi" w:hAnsiTheme="majorHAnsi" w:cstheme="majorHAnsi"/>
          <w:szCs w:val="24"/>
        </w:rPr>
        <w:t xml:space="preserve">. The survey recovered 27,852 verbatim-anchored items from 1,308 papers, synthesized into 419 themes, of which 255 were AI-governance, 71 human-clinical (excluded), and 93 ambiguous. The AI-relevant literature converged on five recurring principles — evaluation and benchmarking, detection and mitigation, human oversight and accountability, transparency and explainability, and ethics and regulation — all </w:t>
      </w:r>
      <w:r w:rsidRPr="009B500E">
        <w:rPr>
          <w:rFonts w:asciiTheme="majorHAnsi" w:hAnsiTheme="majorHAnsi" w:cstheme="majorHAnsi"/>
          <w:szCs w:val="24"/>
        </w:rPr>
        <w:lastRenderedPageBreak/>
        <w:t>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63F1ED01" w14:textId="77777777" w:rsidR="00EA778E" w:rsidRPr="009B500E" w:rsidRDefault="00EA778E" w:rsidP="009B500E">
      <w:pPr>
        <w:spacing w:after="0" w:line="240" w:lineRule="auto"/>
        <w:rPr>
          <w:rFonts w:asciiTheme="majorHAnsi" w:hAnsiTheme="majorHAnsi" w:cstheme="majorHAnsi"/>
          <w:szCs w:val="24"/>
        </w:rPr>
      </w:pPr>
    </w:p>
    <w:p w14:paraId="531E1E39"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 xml:space="preserve">Model-selection benchmark. </w:t>
      </w:r>
      <w:r w:rsidRPr="009B500E">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57A48E6" w14:textId="77777777" w:rsidR="00EA778E" w:rsidRPr="009B500E" w:rsidRDefault="00EA778E" w:rsidP="009B500E">
      <w:pPr>
        <w:spacing w:after="0" w:line="240" w:lineRule="auto"/>
        <w:rPr>
          <w:rFonts w:asciiTheme="majorHAnsi" w:hAnsiTheme="majorHAnsi" w:cstheme="majorHAnsi"/>
          <w:b/>
          <w:color w:val="EE0000"/>
          <w:szCs w:val="24"/>
        </w:rPr>
      </w:pPr>
    </w:p>
    <w:p w14:paraId="7F4B715F"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Chain-of-Thought Classification of the Full Matrix</w:t>
      </w:r>
    </w:p>
    <w:p w14:paraId="0C495734"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Chain-of-thought </w:t>
      </w:r>
      <w:r w:rsidR="00B930D3">
        <w:rPr>
          <w:rFonts w:asciiTheme="majorHAnsi" w:hAnsiTheme="majorHAnsi" w:cstheme="majorHAnsi"/>
          <w:szCs w:val="24"/>
        </w:rPr>
        <w:t xml:space="preserve">(CoT) </w:t>
      </w:r>
      <w:r w:rsidRPr="009B500E">
        <w:rPr>
          <w:rFonts w:asciiTheme="majorHAnsi" w:hAnsiTheme="majorHAnsi" w:cstheme="majorHAnsi"/>
          <w:szCs w:val="24"/>
        </w:rPr>
        <w:t xml:space="preserve">classification was applied to the complete matrix to add a mechanistic verdict, functional role, and direction to every </w:t>
      </w:r>
      <w:r w:rsidR="00705A6F">
        <w:rPr>
          <w:rFonts w:asciiTheme="majorHAnsi" w:hAnsiTheme="majorHAnsi" w:cstheme="majorHAnsi"/>
          <w:szCs w:val="24"/>
        </w:rPr>
        <w:t>gene-RCD</w:t>
      </w:r>
      <w:r w:rsidRPr="009B500E">
        <w:rPr>
          <w:rFonts w:asciiTheme="majorHAnsi" w:hAnsiTheme="majorHAnsi" w:cstheme="majorHAnsi"/>
          <w:szCs w:val="24"/>
        </w:rPr>
        <w:t xml:space="preserve"> pair —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4A32BF2" w14:textId="77777777" w:rsidR="00871F46" w:rsidRPr="009B500E" w:rsidRDefault="00871F46" w:rsidP="009B500E">
      <w:pPr>
        <w:spacing w:after="0" w:line="240" w:lineRule="auto"/>
        <w:rPr>
          <w:rFonts w:asciiTheme="majorHAnsi" w:hAnsiTheme="majorHAnsi" w:cstheme="majorHAnsi"/>
          <w:szCs w:val="24"/>
        </w:rPr>
      </w:pPr>
    </w:p>
    <w:p w14:paraId="32D9DCC0"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 genes that directly execute the death pathway —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r w:rsidR="00705A6F">
        <w:rPr>
          <w:rFonts w:asciiTheme="majorHAnsi" w:hAnsiTheme="majorHAnsi" w:cstheme="majorHAnsi"/>
          <w:szCs w:val="24"/>
        </w:rPr>
      </w:r>
      <w:r w:rsidRPr="009B500E">
        <w:rPr>
          <w:rFonts w:asciiTheme="majorHAnsi" w:hAnsiTheme="majorHAnsi" w:cstheme="majorHAnsi"/>
          <w:szCs w:val="24"/>
        </w:rPr>
      </w:r>
      <w:r w:rsidRPr="000C564C">
        <w:rPr>
          <w:rFonts w:asciiTheme="majorHAnsi" w:hAnsiTheme="majorHAnsi" w:cstheme="majorHAnsi"/>
          <w:szCs w:val="24"/>
          <w:highlight w:val="green"/>
        </w:rPr>
      </w:r>
    </w:p>
    <w:p w14:paraId="6AF672B6" w14:textId="77777777" w:rsidR="004B02F0" w:rsidRDefault="004B02F0" w:rsidP="009B500E">
      <w:pPr>
        <w:spacing w:after="0" w:line="240" w:lineRule="auto"/>
        <w:rPr>
          <w:rFonts w:asciiTheme="majorHAnsi" w:hAnsiTheme="majorHAnsi" w:cstheme="majorHAnsi"/>
          <w:szCs w:val="24"/>
        </w:rPr>
      </w:pPr>
    </w:p>
    <w:p w14:paraId="0B9B9C7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lastRenderedPageBreak/>
        <w:t>gene-RCD</w:t>
      </w:r>
      <w:r w:rsidRPr="009B500E">
        <w:rPr>
          <w:rFonts w:asciiTheme="majorHAnsi" w:hAnsiTheme="majorHAnsi" w:cstheme="majorHAnsi"/>
          <w:szCs w:val="24"/>
        </w:rPr>
        <w:t xml:space="preserve"> pairs (</w:t>
      </w:r>
      <w:r w:rsidRPr="000C564C">
        <w:rPr>
          <w:rFonts w:asciiTheme="majorHAnsi" w:hAnsiTheme="majorHAnsi" w:cstheme="majorHAnsi"/>
          <w:i/>
          <w:iCs/>
          <w:szCs w:val="24"/>
        </w:rPr>
        <w:t>NLRX1</w:t>
      </w:r>
      <w:r w:rsidRPr="009B500E">
        <w:rPr>
          <w:rFonts w:asciiTheme="majorHAnsi" w:hAnsiTheme="majorHAnsi" w:cstheme="majorHAnsi"/>
          <w:szCs w:val="24"/>
        </w:rPr>
        <w:t xml:space="preserve"> and </w:t>
      </w:r>
      <w:r w:rsidRPr="000C564C">
        <w:rPr>
          <w:rFonts w:asciiTheme="majorHAnsi" w:hAnsiTheme="majorHAnsi" w:cstheme="majorHAnsi"/>
          <w:i/>
          <w:iCs/>
          <w:szCs w:val="24"/>
        </w:rPr>
        <w:t>PPIF</w:t>
      </w:r>
      <w:r w:rsidRPr="009B500E">
        <w:rPr>
          <w:rFonts w:asciiTheme="majorHAnsi" w:hAnsiTheme="majorHAnsi" w:cstheme="majorHAnsi"/>
          <w:szCs w:val="24"/>
        </w:rPr>
        <w:t xml:space="preserve"> with MPT-driven necrosis) were classified separately with a five-vote majority, completing full pair coverage (21,568/21,568).</w:t>
      </w:r>
    </w:p>
    <w:p w14:paraId="6BCE4DE1" w14:textId="77777777" w:rsidR="00871F46" w:rsidRPr="009B500E" w:rsidRDefault="00871F46" w:rsidP="009B500E">
      <w:pPr>
        <w:spacing w:after="0" w:line="240" w:lineRule="auto"/>
        <w:rPr>
          <w:rFonts w:asciiTheme="majorHAnsi" w:hAnsiTheme="majorHAnsi" w:cstheme="majorHAnsi"/>
          <w:b/>
          <w:color w:val="EE0000"/>
          <w:szCs w:val="24"/>
        </w:rPr>
      </w:pPr>
    </w:p>
    <w:p w14:paraId="648EA9F8"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RCDome Web Application</w:t>
      </w:r>
    </w:p>
    <w:p w14:paraId="501B8B66" w14:textId="77777777" w:rsidR="00D11423"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is exposed through RCDome, a Shiny web application with a multi-layer navigation. The Home page renders the atlas as a girded-cupola dome — 53 entity nodes colored by ontological level (L1 gold through L5 orange) along the rim, with a gene constellation beneath —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r>
        <w:t>The dome is the visual signature of the platform: its cupola rim carries the 53 canonicalized RCD-related entities as nodes colored by their adjudicated ontological level — L1 modalities (19, gold), L2 subtypes (7, blue), L3 triggers (2, green), L4 Functional/contextual (13, purple), and L5 Generic/umbrella/taxon (12, orange) —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4BBFAF01" w14:textId="77777777" w:rsidR="00D11423" w:rsidRDefault="00D11423" w:rsidP="009B500E">
      <w:pPr>
        <w:spacing w:after="0" w:line="240" w:lineRule="auto"/>
        <w:rPr>
          <w:rFonts w:asciiTheme="majorHAnsi" w:hAnsiTheme="majorHAnsi" w:cstheme="majorHAnsi"/>
          <w:szCs w:val="24"/>
        </w:rPr>
      </w:pPr>
    </w:p>
    <w:p w14:paraId="13A9A93C"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application source code and compendium are available at </w:t>
      </w:r>
      <w:hyperlink r:id="rId45" w:history="1">
        <w:r w:rsidR="00D11423" w:rsidRPr="001F557B">
          <w:rPr>
            <w:rStyle w:val="Hyperlink"/>
            <w:rFonts w:asciiTheme="majorHAnsi" w:hAnsiTheme="majorHAnsi" w:cstheme="majorHAnsi"/>
            <w:szCs w:val="24"/>
          </w:rPr>
          <w:t>https://github.com/BioCancerInformatics/RCDome</w:t>
        </w:r>
      </w:hyperlink>
      <w:r w:rsidRPr="009B500E">
        <w:rPr>
          <w:rFonts w:asciiTheme="majorHAnsi" w:hAnsiTheme="majorHAnsi" w:cstheme="majorHAnsi"/>
          <w:szCs w:val="24"/>
        </w:rPr>
        <w:t>.</w:t>
      </w:r>
      <w:r w:rsidR="00D11423">
        <w:rPr>
          <w:rFonts w:asciiTheme="majorHAnsi" w:hAnsiTheme="majorHAnsi" w:cstheme="majorHAnsi"/>
          <w:szCs w:val="24"/>
        </w:rPr>
        <w:t xml:space="preserve"> </w:t>
      </w:r>
      <w:r w:rsidRPr="009B500E">
        <w:rPr>
          <w:rFonts w:asciiTheme="majorHAnsi" w:hAnsiTheme="majorHAnsi" w:cstheme="majorHAnsi"/>
          <w:szCs w:val="24"/>
        </w:rPr>
        <w:t xml:space="preserve">The </w:t>
      </w:r>
      <w:r w:rsidRPr="00D11423">
        <w:rPr>
          <w:rFonts w:asciiTheme="majorHAnsi" w:hAnsiTheme="majorHAnsi" w:cstheme="majorHAnsi"/>
          <w:i/>
          <w:iCs/>
          <w:szCs w:val="24"/>
        </w:rPr>
        <w:t>Gene Catalog</w:t>
      </w:r>
      <w:r w:rsidRPr="009B500E">
        <w:rPr>
          <w:rFonts w:asciiTheme="majorHAnsi" w:hAnsiTheme="majorHAnsi" w:cstheme="majorHAnsi"/>
          <w:szCs w:val="24"/>
        </w:rPr>
        <w:t xml:space="preserve"> module exposes the complete 22,473-row × 71-column matrix (</w:t>
      </w:r>
      <w:r w:rsidRPr="00D11423">
        <w:rPr>
          <w:rFonts w:asciiTheme="majorHAnsi" w:hAnsiTheme="majorHAnsi" w:cstheme="majorHAnsi"/>
          <w:szCs w:val="24"/>
          <w:highlight w:val="green"/>
        </w:rPr>
        <w:t>Database S1</w:t>
      </w:r>
      <w:r w:rsidRPr="009B500E">
        <w:rPr>
          <w:rFonts w:asciiTheme="majorHAnsi" w:hAnsiTheme="majorHAnsi" w:cstheme="majorHAnsi"/>
          <w:szCs w:val="24"/>
        </w:rPr>
        <w:t>) as a filterable, sortable table with nine columns — gene, biotype, RCD entity, cancer gene, confidence tier, mechanistic, role, direction, and source databases —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6ECE1D8A" w14:textId="77777777" w:rsidR="004B02F0" w:rsidRDefault="004B02F0" w:rsidP="009B500E">
      <w:pPr>
        <w:spacing w:after="0" w:line="240" w:lineRule="auto"/>
        <w:rPr>
          <w:rFonts w:asciiTheme="majorHAnsi" w:hAnsiTheme="majorHAnsi" w:cstheme="majorHAnsi"/>
          <w:szCs w:val="24"/>
        </w:rPr>
      </w:pPr>
    </w:p>
    <w:p w14:paraId="7450208E"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 Compendium Browser, Gene-Centric Explorer, Pathway Diagrams, Literature Consultation, Definition Comparator, Discovery Timeline, and Integration Toolkit — are exposed as cards on the Home page, with the interactive dome as the primary entry point.</w:t>
      </w:r>
    </w:p>
    <w:p w14:paraId="40FDD74E" w14:textId="77777777" w:rsidR="004B02F0" w:rsidRDefault="004B02F0" w:rsidP="009B500E">
      <w:pPr>
        <w:spacing w:after="0" w:line="240" w:lineRule="auto"/>
        <w:rPr>
          <w:rFonts w:asciiTheme="majorHAnsi" w:hAnsiTheme="majorHAnsi" w:cstheme="majorHAnsi"/>
          <w:szCs w:val="24"/>
        </w:rPr>
      </w:pPr>
    </w:p>
    <w:p w14:paraId="65399E94"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Supplementary Note S5 (AI usage, tokens, and cost).</w:t>
      </w:r>
      <w:r/>
    </w:p>
    <w:p w14:paraId="6E858C66" w14:textId="77777777" w:rsidR="000B2C2A" w:rsidRPr="009B500E" w:rsidRDefault="000B2C2A" w:rsidP="009B500E">
      <w:pPr>
        <w:spacing w:after="0" w:line="240" w:lineRule="auto"/>
        <w:rPr>
          <w:rFonts w:asciiTheme="majorHAnsi" w:hAnsiTheme="majorHAnsi" w:cstheme="majorHAnsi"/>
          <w:b/>
          <w:szCs w:val="24"/>
        </w:rPr>
      </w:pPr>
    </w:p>
    <w:p w14:paraId="14680FD5" w14:textId="77777777" w:rsidR="00B04B4F" w:rsidRDefault="00000000">
      <w: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r/>
    </w:p>
    <w:p w14:paraId="77340BB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Practical utility of the web application</w:t>
      </w:r>
    </w:p>
    <w:p w14:paraId="22B21AD6"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extraction as much as for browsing. A Direction/Role source selector switches the displayed annotation between the DeepSeek chain-of-thought classification and the Elicit extraction, so a researcher can compare the two analyses side by side without conflating them. Four download buttons export the filtered gene table, the complete 71-column matrix, the per-entity comparison (Elicit versus DeepSeek executor and regulator counts for all 53 entities), and the death core — the 469 executor pairs, exported with full provenance columns. Every association PMID resolves to a verified article title (all 10,141 curated titles matched exactly against PubMed), and each row carries its source databases, evidence tier, and per-analysis verdicts. In practice, a researcher can, in a single session, filter to a mechanism of interest, download the underlying matrix, and trace any claim back to its original database or publication.</w:t>
      </w:r>
    </w:p>
    <w:p w14:paraId="25BC55CA" w14:textId="77777777" w:rsidR="000B2C2A" w:rsidRPr="009B500E" w:rsidRDefault="000B2C2A" w:rsidP="009B500E">
      <w:pPr>
        <w:spacing w:after="0" w:line="240" w:lineRule="auto"/>
        <w:rPr>
          <w:rFonts w:asciiTheme="majorHAnsi" w:hAnsiTheme="majorHAnsi" w:cstheme="majorHAnsi"/>
          <w:b/>
          <w:color w:val="EE0000"/>
          <w:szCs w:val="24"/>
        </w:rPr>
      </w:pPr>
    </w:p>
    <w:p w14:paraId="4533FC40" w14:textId="77777777" w:rsidR="002E19E0" w:rsidRPr="00CC1DA5" w:rsidRDefault="00921C18" w:rsidP="009B500E">
      <w:pPr>
        <w:spacing w:after="0" w:line="240" w:lineRule="auto"/>
        <w:rPr>
          <w:rFonts w:asciiTheme="majorHAnsi" w:hAnsiTheme="majorHAnsi" w:cstheme="majorHAnsi"/>
          <w:color w:val="EE0000"/>
          <w:szCs w:val="24"/>
          <w:highlight w:val="yellow"/>
        </w:rPr>
      </w:pPr>
      <w:r w:rsidRPr="00CC1DA5">
        <w:rPr>
          <w:rFonts w:asciiTheme="majorHAnsi" w:hAnsiTheme="majorHAnsi" w:cstheme="majorHAnsi"/>
          <w:b/>
          <w:color w:val="EE0000"/>
          <w:szCs w:val="24"/>
          <w:highlight w:val="yellow"/>
        </w:rPr>
        <w:t>Pending Work</w:t>
      </w:r>
    </w:p>
    <w:p w14:paraId="7661033B" w14:textId="77777777" w:rsidR="002E19E0" w:rsidRPr="009B500E" w:rsidRDefault="002E19E0" w:rsidP="009B500E">
      <w:pPr>
        <w:spacing w:after="0" w:line="240" w:lineRule="auto"/>
        <w:rPr>
          <w:rFonts w:asciiTheme="majorHAnsi" w:hAnsiTheme="majorHAnsi" w:cstheme="majorHAnsi"/>
          <w:color w:val="EE0000"/>
          <w:szCs w:val="24"/>
        </w:rPr>
      </w:pPr>
      <w:r w:rsidRPr="00CC1DA5">
        <w:rPr>
          <w:rFonts w:asciiTheme="majorHAnsi" w:hAnsiTheme="majorHAnsi" w:cstheme="majorHAnsi"/>
          <w:color w:val="EE0000"/>
          <w:szCs w:val="24"/>
          <w:highlight w:val="yellow"/>
        </w:rPr>
        <w:t>The compendium and validation pipeline reported here constitute a living platform. The six gene symbols renamed during matrix consolidation (IL1RL1 to IL33R, AATK to LMTK1, TNFAIP8L1 to TIPE1, TNFAIP8L2 to TIPE2, TNFAIP8L3 to TIPE3, ENSG00000274276 to CBSL) were reconciled in the chain-of-thought validation results, and the two newly added MPT-driven necrosis gene associations (NLRX1 and PPIF) were classified through the same pipeline. The RCD entities module presents all 53 RCD-related entities through the decoder; the RCDchat literature-consultation module and the Network module are implemented and being refined.</w:t>
      </w:r>
    </w:p>
    <w:p w14:paraId="02C5E26D" w14:textId="77777777" w:rsidR="00EA778E" w:rsidRPr="009B500E" w:rsidRDefault="00EA778E" w:rsidP="009B500E">
      <w:pPr>
        <w:pStyle w:val="Ttulo2"/>
        <w:spacing w:before="0" w:line="240" w:lineRule="auto"/>
        <w:rPr>
          <w:rFonts w:cstheme="majorHAnsi"/>
          <w:sz w:val="24"/>
          <w:szCs w:val="24"/>
        </w:rPr>
      </w:pPr>
    </w:p>
    <w:p w14:paraId="7C8C29F7"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DISCUSSION</w:t>
      </w:r>
    </w:p>
    <w:p w14:paraId="2832D5A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413C42D0" w14:textId="77777777" w:rsidR="00EA778E" w:rsidRPr="009B500E" w:rsidRDefault="00EA778E" w:rsidP="009B500E">
      <w:pPr>
        <w:spacing w:after="0" w:line="240" w:lineRule="auto"/>
        <w:rPr>
          <w:rFonts w:asciiTheme="majorHAnsi" w:hAnsiTheme="majorHAnsi" w:cstheme="majorHAnsi"/>
          <w:szCs w:val="24"/>
        </w:rPr>
      </w:pPr>
    </w:p>
    <w:p w14:paraId="3FDBEDC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bulk human approval (logged 2026-09-05). Automated quality filters exclude non-HGNC symbols and </w:t>
      </w:r>
      <w:r w:rsidRPr="009B500E">
        <w:rPr>
          <w:rFonts w:asciiTheme="majorHAnsi" w:hAnsiTheme="majorHAnsi" w:cstheme="majorHAnsi"/>
          <w:szCs w:val="24"/>
        </w:rPr>
        <w:lastRenderedPageBreak/>
        <w:t>NCBI Gene keyword-only associations following a spot audit that revealed zero overlap with known RCD executioner and regulator genes — a decision that removed 10,857 rows but protected the compendium from systematic noise. Governance, in RCDome, is not a statement of values; it is executable code.</w:t>
      </w:r>
    </w:p>
    <w:p w14:paraId="733E627B" w14:textId="77777777" w:rsidR="00EA778E" w:rsidRPr="009B500E" w:rsidRDefault="00EA778E" w:rsidP="009B500E">
      <w:pPr>
        <w:spacing w:after="0" w:line="240" w:lineRule="auto"/>
        <w:rPr>
          <w:rFonts w:asciiTheme="majorHAnsi" w:hAnsiTheme="majorHAnsi" w:cstheme="majorHAnsi"/>
          <w:szCs w:val="24"/>
        </w:rPr>
      </w:pPr>
    </w:p>
    <w:p w14:paraId="3B54EB71" w14:textId="77777777" w:rsidR="00463DD3"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RCDome compendium is a diagnostic of the field, and several findings took us by surprise. The sheer number of RCD entities — 53 RCD-related entities consolidated from 62 original name strings —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43D9111D" w14:textId="77777777" w:rsidR="00463DD3" w:rsidRDefault="00463DD3" w:rsidP="009B500E">
      <w:pPr>
        <w:spacing w:after="0" w:line="240" w:lineRule="auto"/>
        <w:rPr>
          <w:rFonts w:asciiTheme="majorHAnsi" w:hAnsiTheme="majorHAnsi" w:cstheme="majorHAnsi"/>
          <w:szCs w:val="24"/>
        </w:rPr>
      </w:pPr>
    </w:p>
    <w:p w14:paraId="79724ED0"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disparity in gene coverage is striking. Apoptosis accounts for 6,229 entries.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 but it makes it quantitatively measurable.</w:t>
      </w:r>
      <w:r w:rsidR="00897A3F">
        <w:rPr>
          <w:rFonts w:asciiTheme="majorHAnsi" w:hAnsiTheme="majorHAnsi" w:cstheme="majorHAnsi"/>
          <w:szCs w:val="24"/>
        </w:rPr>
      </w:r>
      <w:r w:rsidRPr="009B500E">
        <w:rPr>
          <w:rFonts w:asciiTheme="majorHAnsi" w:hAnsiTheme="majorHAnsi" w:cstheme="majorHAnsi"/>
          <w:szCs w:val="24"/>
        </w:rPr>
      </w:r>
    </w:p>
    <w:p w14:paraId="31467421" w14:textId="77777777" w:rsidR="00EA778E" w:rsidRPr="009B500E" w:rsidRDefault="00EA778E" w:rsidP="009B500E">
      <w:pPr>
        <w:spacing w:after="0" w:line="240" w:lineRule="auto"/>
        <w:rPr>
          <w:rFonts w:asciiTheme="majorHAnsi" w:hAnsiTheme="majorHAnsi" w:cstheme="majorHAnsi"/>
          <w:szCs w:val="24"/>
        </w:rPr>
      </w:pPr>
    </w:p>
    <w:p w14:paraId="76E1E57C" w14:textId="77777777" w:rsidR="00897A3F"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 62 original name strings across 20 resources —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532DBB89" w14:textId="77777777" w:rsidR="00897A3F" w:rsidRDefault="00897A3F" w:rsidP="009B500E">
      <w:pPr>
        <w:spacing w:after="0" w:line="240" w:lineRule="auto"/>
        <w:rPr>
          <w:rFonts w:asciiTheme="majorHAnsi" w:hAnsiTheme="majorHAnsi" w:cstheme="majorHAnsi"/>
          <w:szCs w:val="24"/>
        </w:rPr>
      </w:pPr>
    </w:p>
    <w:p w14:paraId="1C80496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008D4EC3" w14:textId="77777777" w:rsidR="00925876" w:rsidRPr="009B500E" w:rsidRDefault="00925876" w:rsidP="009B500E">
      <w:pPr>
        <w:spacing w:after="0" w:line="240" w:lineRule="auto"/>
        <w:rPr>
          <w:rFonts w:asciiTheme="majorHAnsi" w:hAnsiTheme="majorHAnsi" w:cstheme="majorHAnsi"/>
          <w:szCs w:val="24"/>
        </w:rPr>
      </w:pPr>
    </w:p>
    <w:p w14:paraId="48134DD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What the atlas reveals about the biology of regulated cell death</w:t>
      </w:r>
    </w:p>
    <w:p w14:paraId="279E9B2F" w14:textId="77777777" w:rsidR="00B147A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full-matrix classification, read as a whole, paints a picture that surprised us. The death-executing machinery is remarkably small: only 469 </w:t>
      </w:r>
      <w:r w:rsidR="00705A6F">
        <w:rPr>
          <w:rFonts w:asciiTheme="majorHAnsi" w:hAnsiTheme="majorHAnsi" w:cstheme="majorHAnsi"/>
          <w:szCs w:val="24"/>
        </w:rPr>
        <w:t>gene-RCD</w:t>
      </w:r>
      <w:r w:rsidRPr="009B500E">
        <w:rPr>
          <w:rFonts w:asciiTheme="majorHAnsi" w:hAnsiTheme="majorHAnsi" w:cstheme="majorHAnsi"/>
          <w:szCs w:val="24"/>
        </w:rPr>
        <w:t xml:space="preserve"> pairs (4.7% of the mechanistically-involved set) are executors —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897A3F">
        <w:rPr>
          <w:rFonts w:asciiTheme="majorHAnsi" w:hAnsiTheme="majorHAnsi" w:cstheme="majorHAnsi"/>
          <w:szCs w:val="24"/>
          <w:highlight w:val="green"/>
        </w:rPr>
        <w:t>Figure 3A).</w:t>
      </w:r>
    </w:p>
    <w:p w14:paraId="0AB42A1A" w14:textId="77777777" w:rsidR="00897A3F" w:rsidRPr="009B500E" w:rsidRDefault="00897A3F" w:rsidP="009B500E">
      <w:pPr>
        <w:spacing w:after="0" w:line="240" w:lineRule="auto"/>
        <w:rPr>
          <w:rFonts w:asciiTheme="majorHAnsi" w:hAnsiTheme="majorHAnsi" w:cstheme="majorHAnsi"/>
          <w:szCs w:val="24"/>
        </w:rPr>
      </w:pPr>
    </w:p>
    <w:p w14:paraId="3CBFDA9F"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signal is sharply stratified by ontological level. The L1 modalities — the bona fide death forms —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r w:rsidRPr="00897A3F">
        <w:rPr>
          <w:rFonts w:asciiTheme="majorHAnsi" w:hAnsiTheme="majorHAnsi" w:cstheme="majorHAnsi"/>
          <w:szCs w:val="24"/>
          <w:highlight w:val="green"/>
        </w:rPr>
      </w:r>
      <w:r w:rsidRPr="009B500E">
        <w:rPr>
          <w:rFonts w:asciiTheme="majorHAnsi" w:hAnsiTheme="majorHAnsi" w:cstheme="majorHAnsi"/>
          <w:szCs w:val="24"/>
        </w:rPr>
      </w:r>
    </w:p>
    <w:p w14:paraId="2732E1ED" w14:textId="77777777" w:rsidR="004B02F0" w:rsidRDefault="004B02F0" w:rsidP="009B500E">
      <w:pPr>
        <w:spacing w:after="0" w:line="240" w:lineRule="auto"/>
        <w:rPr>
          <w:rFonts w:asciiTheme="majorHAnsi" w:hAnsiTheme="majorHAnsi" w:cstheme="majorHAnsi"/>
          <w:szCs w:val="24"/>
        </w:rPr>
      </w:pPr>
    </w:p>
    <w:p w14:paraId="6612049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direction of regulation is nearly balanced — 5,070 promoters versus 4,755 protectors (across all role-resolved associations) —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genes) and Autophagy (4,634) to Pyronecrosis (1 gene) (Figure 4). Where a subtype carries more genes than its parent — Autosis (1,105 genes) against Autophagy-dependent cell death (110) — the difference reflects the depth of database indexing, not ontological inheritance; parent–child gene inventories are not expected to be nested subsets.</w:t>
      </w:r>
      <w:r w:rsidR="00897A3F">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000B2C2A" w:rsidRPr="009B500E">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p>
    <w:p w14:paraId="5C47A166" w14:textId="77777777" w:rsidR="000B2C2A" w:rsidRPr="009B500E" w:rsidRDefault="000B2C2A" w:rsidP="009B500E">
      <w:pPr>
        <w:spacing w:after="0" w:line="240" w:lineRule="auto"/>
        <w:rPr>
          <w:rFonts w:asciiTheme="majorHAnsi" w:hAnsiTheme="majorHAnsi" w:cstheme="majorHAnsi"/>
          <w:b/>
          <w:szCs w:val="24"/>
        </w:rPr>
      </w:pPr>
    </w:p>
    <w:p w14:paraId="43079FE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value and limits of the automated classifications</w:t>
      </w:r>
    </w:p>
    <w:p w14:paraId="168DE5DE"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two independent classifications — DeepSeek (the chain-of-thought full-matrix classification) and Elicit (the original AI-assisted extraction) — give every </w:t>
      </w:r>
      <w:r w:rsidR="00705A6F">
        <w:rPr>
          <w:rFonts w:asciiTheme="majorHAnsi" w:hAnsiTheme="majorHAnsi" w:cstheme="majorHAnsi"/>
          <w:szCs w:val="24"/>
        </w:rPr>
        <w:t>gene-RCD</w:t>
      </w:r>
      <w:r w:rsidRPr="009B500E">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5CB828AC" w14:textId="77777777" w:rsidR="004B02F0" w:rsidRDefault="004B02F0" w:rsidP="009B500E">
      <w:pPr>
        <w:spacing w:after="0" w:line="240" w:lineRule="auto"/>
        <w:rPr>
          <w:rFonts w:asciiTheme="majorHAnsi" w:hAnsiTheme="majorHAnsi" w:cstheme="majorHAnsi"/>
          <w:szCs w:val="24"/>
        </w:rPr>
      </w:pPr>
    </w:p>
    <w:p w14:paraId="1FFD43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5202FBA7" w14:textId="77777777" w:rsidR="004B02F0" w:rsidRDefault="004B02F0" w:rsidP="009B500E">
      <w:pPr>
        <w:spacing w:after="0" w:line="240" w:lineRule="auto"/>
        <w:rPr>
          <w:rFonts w:asciiTheme="majorHAnsi" w:hAnsiTheme="majorHAnsi" w:cstheme="majorHAnsi"/>
          <w:szCs w:val="24"/>
        </w:rPr>
      </w:pPr>
    </w:p>
    <w:p w14:paraId="577D2802"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7774B59B" w14:textId="77777777" w:rsidR="000B2C2A" w:rsidRPr="009B500E" w:rsidRDefault="000B2C2A" w:rsidP="009B500E">
      <w:pPr>
        <w:spacing w:after="0" w:line="240" w:lineRule="auto"/>
        <w:rPr>
          <w:rFonts w:asciiTheme="majorHAnsi" w:hAnsiTheme="majorHAnsi" w:cstheme="majorHAnsi"/>
          <w:b/>
          <w:szCs w:val="24"/>
        </w:rPr>
      </w:pPr>
    </w:p>
    <w:p w14:paraId="5367F63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65C8B71" w14:textId="77777777" w:rsidR="004B02F0" w:rsidRDefault="004B02F0" w:rsidP="009B500E">
      <w:pPr>
        <w:spacing w:after="0" w:line="240" w:lineRule="auto"/>
        <w:rPr>
          <w:rFonts w:asciiTheme="majorHAnsi" w:hAnsiTheme="majorHAnsi" w:cstheme="majorHAnsi"/>
          <w:szCs w:val="24"/>
        </w:rPr>
      </w:pPr>
    </w:p>
    <w:p w14:paraId="375E5F7E"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A823EC3" w14:textId="77777777" w:rsidR="004B02F0" w:rsidRDefault="004B02F0" w:rsidP="009B500E">
      <w:pPr>
        <w:spacing w:after="0" w:line="240" w:lineRule="auto"/>
        <w:rPr>
          <w:rFonts w:asciiTheme="majorHAnsi" w:hAnsiTheme="majorHAnsi" w:cstheme="majorHAnsi"/>
          <w:szCs w:val="24"/>
        </w:rPr>
      </w:pPr>
    </w:p>
    <w:p w14:paraId="31AE9E73"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automated channels (DeepSeek, Elicit, Consensus) preserve association and evidence for every pair, but the final ontological adjudication — what counts as a modality, subtype, trigger, or umbrella — is curator-governed, consistent with the governance rules of this project.</w:t>
      </w:r>
    </w:p>
    <w:p w14:paraId="130172EE" w14:textId="77777777" w:rsidR="004B02F0" w:rsidRDefault="004B02F0" w:rsidP="009B500E">
      <w:pPr>
        <w:spacing w:after="0" w:line="240" w:lineRule="auto"/>
        <w:rPr>
          <w:rFonts w:asciiTheme="majorHAnsi" w:hAnsiTheme="majorHAnsi" w:cstheme="majorHAnsi"/>
          <w:b/>
          <w:szCs w:val="24"/>
        </w:rPr>
      </w:pPr>
    </w:p>
    <w:p w14:paraId="39A2BD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Limitations</w:t>
      </w:r>
    </w:p>
    <w:p w14:paraId="333C469D" w14:textId="77777777" w:rsidR="00B147AA" w:rsidRPr="009B500E" w:rsidRDefault="00000000" w:rsidP="009B500E">
      <w:pPr>
        <w:spacing w:after="0" w:line="240" w:lineRule="auto"/>
        <w:rPr>
          <w:rFonts w:asciiTheme="majorHAnsi" w:hAnsiTheme="majorHAnsi" w:cstheme="majorHAnsi"/>
          <w:szCs w:val="24"/>
        </w:rPr>
      </w:pPr>
      <w:r>
        <w:t>Two limitations are explicitly acknowledged. First, the Consensus evidence-channel classification is incomplete: 9,634 of 21,568 pairs were processed before the monthly call ceiling was reached, and the remainder will resume at the next reset; until then the third analysis is partial and the final three-way consensus is pending. Twenty-eight of the 53 RCD-related entities were not covered by the previous multi-optosis operational-definition set and therefore required RCDome-specific definition work; in the current decoder, all 53 entities have an operational definition anchored to a reference PMID.</w:t>
      </w:r>
    </w:p>
    <w:p w14:paraId="2A6DBE2B" w14:textId="77777777" w:rsidR="000B2C2A" w:rsidRPr="009B500E" w:rsidRDefault="000B2C2A" w:rsidP="009B500E">
      <w:pPr>
        <w:spacing w:after="0" w:line="240" w:lineRule="auto"/>
        <w:rPr>
          <w:rFonts w:asciiTheme="majorHAnsi" w:hAnsiTheme="majorHAnsi" w:cstheme="majorHAnsi"/>
          <w:b/>
          <w:szCs w:val="24"/>
        </w:rPr>
      </w:pPr>
    </w:p>
    <w:p w14:paraId="4F2535E3" w14:textId="77777777" w:rsidR="000B2C2A" w:rsidRPr="009B500E" w:rsidRDefault="000B2C2A"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and Code Availability</w:t>
      </w:r>
    </w:p>
    <w:p w14:paraId="61911D21" w14:textId="77777777" w:rsidR="000B2C2A" w:rsidRPr="009B500E" w:rsidRDefault="000B2C2A" w:rsidP="009B500E">
      <w:pPr>
        <w:spacing w:after="0" w:line="240" w:lineRule="auto"/>
        <w:rPr>
          <w:rFonts w:asciiTheme="majorHAnsi" w:hAnsiTheme="majorHAnsi" w:cstheme="majorHAnsi"/>
          <w:szCs w:val="24"/>
        </w:rPr>
      </w:pPr>
      <w:r>
        <w:t>The RCDome compendium matrix (Database S1; 22,473 rows × 71 columns), extraction pipeline, and the RCDome web application source code are available at https://github.com/BioCancerInformatics/RCDome.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r w:rsidR="00603234"/>
      <w:r/>
      <w:r/>
      <w:r/>
    </w:p>
    <w:p w14:paraId="171768C3" w14:textId="77777777" w:rsidR="000B2C2A" w:rsidRPr="009B500E" w:rsidRDefault="000B2C2A" w:rsidP="009B500E">
      <w:pPr>
        <w:spacing w:after="0" w:line="240" w:lineRule="auto"/>
        <w:rPr>
          <w:rFonts w:asciiTheme="majorHAnsi" w:hAnsiTheme="majorHAnsi" w:cstheme="majorHAnsi"/>
          <w:szCs w:val="24"/>
        </w:rPr>
      </w:pPr>
    </w:p>
    <w:p w14:paraId="781AB849" w14:textId="77777777" w:rsidR="000B2C2A" w:rsidRPr="009B500E" w:rsidRDefault="000B2C2A" w:rsidP="009B500E">
      <w:pPr>
        <w:spacing w:after="0" w:line="240" w:lineRule="auto"/>
        <w:rPr>
          <w:rFonts w:asciiTheme="majorHAnsi" w:hAnsiTheme="majorHAnsi" w:cstheme="majorHAnsi"/>
          <w:b/>
          <w:szCs w:val="24"/>
        </w:rPr>
      </w:pPr>
    </w:p>
    <w:p w14:paraId="341CB23F" w14:textId="77777777" w:rsidR="00B147AA" w:rsidRDefault="00000000"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FIGURE LEGENDS</w:t>
      </w:r>
    </w:p>
    <w:p w14:paraId="4BEED9C0" w14:textId="77777777" w:rsidR="00180EB9" w:rsidRPr="009B500E" w:rsidRDefault="00180EB9" w:rsidP="009B500E">
      <w:pPr>
        <w:spacing w:after="0" w:line="240" w:lineRule="auto"/>
        <w:rPr>
          <w:rFonts w:asciiTheme="majorHAnsi" w:hAnsiTheme="majorHAnsi" w:cstheme="majorHAnsi"/>
          <w:szCs w:val="24"/>
        </w:rPr>
      </w:pPr>
    </w:p>
    <w:p w14:paraId="252483CD"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 the gene symbol followed only by “cell death” —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r w:rsidRPr="002E2E0A">
        <w:rPr>
          <w:rFonts w:asciiTheme="majorHAnsi" w:hAnsiTheme="majorHAnsi" w:cstheme="majorHAnsi"/>
          <w:bCs/>
          <w:szCs w:val="24"/>
        </w:rPr>
      </w:r>
    </w:p>
    <w:p w14:paraId="04E11C47" w14:textId="77777777" w:rsidR="000B2C2A" w:rsidRPr="009B500E" w:rsidRDefault="000B2C2A" w:rsidP="009B500E">
      <w:pPr>
        <w:spacing w:after="0" w:line="240" w:lineRule="auto"/>
        <w:rPr>
          <w:rFonts w:asciiTheme="majorHAnsi" w:hAnsiTheme="majorHAnsi" w:cstheme="majorHAnsi"/>
          <w:szCs w:val="24"/>
        </w:rPr>
      </w:pPr>
    </w:p>
    <w:p w14:paraId="4B068A3D"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2. Benchmark evaluation of the three independent analyses.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 the gene symbol followed only by “cell death” — reached 100% combined accuracy with zero false positives. Green bars denote combined accuracy (panels A and C) or post-governance values (panel B); salmon bars denote false positives (panels A and C) or pre-governance values (panel B).</w:t>
      </w:r>
      <w:r w:rsidRPr="009B500E">
        <w:rPr>
          <w:rFonts w:asciiTheme="majorHAnsi" w:hAnsiTheme="majorHAnsi" w:cstheme="majorHAnsi"/>
          <w:bCs/>
          <w:szCs w:val="24"/>
        </w:rPr>
      </w:r>
      <w:r w:rsidRPr="009B500E">
        <w:rPr>
          <w:rFonts w:asciiTheme="majorHAnsi" w:hAnsiTheme="majorHAnsi" w:cstheme="majorHAnsi"/>
          <w:bCs/>
          <w:szCs w:val="24"/>
        </w:rPr>
      </w:r>
    </w:p>
    <w:p w14:paraId="54F213B6" w14:textId="77777777" w:rsidR="000B2C2A" w:rsidRPr="009B500E" w:rsidRDefault="000B2C2A" w:rsidP="009B500E">
      <w:pPr>
        <w:spacing w:after="0" w:line="240" w:lineRule="auto"/>
        <w:rPr>
          <w:rFonts w:asciiTheme="majorHAnsi" w:hAnsiTheme="majorHAnsi" w:cstheme="majorHAnsi"/>
          <w:b/>
          <w:szCs w:val="24"/>
        </w:rPr>
      </w:pPr>
    </w:p>
    <w:p w14:paraId="65EB06E1"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r w:rsidRPr="009B500E">
        <w:rPr>
          <w:rFonts w:asciiTheme="majorHAnsi" w:hAnsiTheme="majorHAnsi" w:cstheme="majorHAnsi"/>
          <w:bCs/>
          <w:szCs w:val="24"/>
        </w:rPr>
      </w:r>
      <w:r w:rsidR="00705A6F">
        <w:rPr>
          <w:rFonts w:asciiTheme="majorHAnsi" w:hAnsiTheme="majorHAnsi" w:cstheme="majorHAnsi"/>
          <w:bCs/>
          <w:szCs w:val="24"/>
        </w:rPr>
      </w:r>
      <w:r w:rsidRPr="009B500E">
        <w:rPr>
          <w:rFonts w:asciiTheme="majorHAnsi" w:hAnsiTheme="majorHAnsi" w:cstheme="majorHAnsi"/>
          <w:bCs/>
          <w:szCs w:val="24"/>
        </w:rPr>
      </w:r>
    </w:p>
    <w:p w14:paraId="0473D6CF" w14:textId="77777777" w:rsidR="005739A1" w:rsidRPr="009B500E" w:rsidRDefault="005739A1" w:rsidP="009B500E">
      <w:pPr>
        <w:spacing w:after="0" w:line="240" w:lineRule="auto"/>
        <w:rPr>
          <w:rFonts w:asciiTheme="majorHAnsi" w:hAnsiTheme="majorHAnsi" w:cstheme="majorHAnsi"/>
          <w:szCs w:val="24"/>
        </w:rPr>
      </w:pPr>
    </w:p>
    <w:p w14:paraId="6B047A58" w14:textId="77777777" w:rsidR="009076EB"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4. Gene coverage of the 53 canonicalized RCD-related entities.</w:t>
      </w:r>
      <w:r w:rsidRPr="002E2E0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genes) and Autophagy (4,634) to Pyronecrosis (1 gene).</w:t>
      </w:r>
    </w:p>
    <w:p w14:paraId="25D6762F" w14:textId="77777777" w:rsidR="004B02F0" w:rsidRDefault="004B02F0" w:rsidP="009B500E">
      <w:pPr>
        <w:pStyle w:val="Ttulo2"/>
        <w:spacing w:before="0" w:line="240" w:lineRule="auto"/>
        <w:rPr>
          <w:rFonts w:cstheme="majorHAnsi"/>
          <w:sz w:val="24"/>
          <w:szCs w:val="24"/>
        </w:rPr>
      </w:pPr>
    </w:p>
    <w:p w14:paraId="2F80B86D" w14:textId="77777777" w:rsidR="004B02F0" w:rsidRDefault="004B02F0" w:rsidP="009B500E">
      <w:pPr>
        <w:pStyle w:val="Ttulo2"/>
        <w:spacing w:before="0" w:line="240" w:lineRule="auto"/>
        <w:rPr>
          <w:rFonts w:cstheme="majorHAnsi"/>
          <w:sz w:val="24"/>
          <w:szCs w:val="24"/>
        </w:rPr>
      </w:pPr>
    </w:p>
    <w:p w14:paraId="782FEEC8" w14:textId="77777777" w:rsidR="00180EB9" w:rsidRDefault="00180EB9" w:rsidP="009B500E">
      <w:pPr>
        <w:pStyle w:val="Ttulo2"/>
        <w:spacing w:before="0" w:line="240" w:lineRule="auto"/>
        <w:rPr>
          <w:rFonts w:cstheme="majorHAnsi"/>
          <w:sz w:val="24"/>
          <w:szCs w:val="24"/>
        </w:rPr>
        <w:sectPr w:rsidR="00180EB9" w:rsidSect="00034616">
          <w:pgSz w:w="11906" w:h="16838"/>
          <w:pgMar w:top="1417" w:right="1417" w:bottom="1417" w:left="1417" w:header="720" w:footer="720" w:gutter="0"/>
          <w:cols w:space="720"/>
          <w:docGrid w:linePitch="360"/>
        </w:sectPr>
      </w:pPr>
    </w:p>
    <w:p w14:paraId="61E86FE8" w14:textId="77777777" w:rsidR="00764347" w:rsidRDefault="00180EB9" w:rsidP="009B500E">
      <w:pPr>
        <w:pStyle w:val="Ttulo2"/>
        <w:spacing w:before="0" w:line="240" w:lineRule="auto"/>
        <w:rPr>
          <w:rFonts w:cstheme="majorHAnsi"/>
          <w:sz w:val="24"/>
          <w:szCs w:val="24"/>
        </w:rPr>
      </w:pPr>
      <w:r w:rsidRPr="009B500E">
        <w:rPr>
          <w:rFonts w:cstheme="majorHAnsi"/>
          <w:sz w:val="24"/>
          <w:szCs w:val="24"/>
        </w:rPr>
        <w:lastRenderedPageBreak/>
        <w:t>REFERENCES</w:t>
      </w:r>
    </w:p>
    <w:p w14:paraId="2D19FDDC" w14:textId="77777777" w:rsidR="00180EB9" w:rsidRPr="00180EB9" w:rsidRDefault="00180EB9" w:rsidP="00180EB9"/>
    <w:p w14:paraId="592CADF2"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221A12A1"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5D496BAD" w14:textId="77777777" w:rsidR="005F5CFD" w:rsidRPr="009B500E" w:rsidRDefault="005F5CFD" w:rsidP="009B500E">
      <w:pPr>
        <w:pStyle w:val="EndNoteBibliography"/>
        <w:spacing w:after="0"/>
        <w:rPr>
          <w:rFonts w:asciiTheme="majorHAnsi" w:hAnsiTheme="majorHAnsi" w:cstheme="majorHAnsi"/>
          <w:szCs w:val="24"/>
          <w:lang w:val="fr-029"/>
        </w:rPr>
      </w:pPr>
      <w:r w:rsidRPr="009B500E">
        <w:rPr>
          <w:rFonts w:asciiTheme="majorHAnsi" w:hAnsiTheme="majorHAnsi" w:cstheme="majorHAnsi"/>
          <w:szCs w:val="24"/>
        </w:rPr>
        <w:t xml:space="preserve">3 Pandian N. and Kanneganti T. D. (2022). PANoptosis: A Unique Innate Immune Inflammatory Cell Death Modality. </w:t>
      </w:r>
      <w:r w:rsidRPr="009B500E">
        <w:rPr>
          <w:rFonts w:asciiTheme="majorHAnsi" w:hAnsiTheme="majorHAnsi" w:cstheme="majorHAnsi"/>
          <w:szCs w:val="24"/>
          <w:lang w:val="fr-029"/>
        </w:rPr>
        <w:t>J Immunol 209(9): 1625-1633.</w:t>
      </w:r>
    </w:p>
    <w:p w14:paraId="64B4A6BC"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fr-029"/>
        </w:rPr>
        <w:t xml:space="preserve">4 Perez-Riverol Y., Zorin A., Dass G., Vu M. T., Xu P., Glont M., et al. </w:t>
      </w:r>
      <w:r w:rsidRPr="009B500E">
        <w:rPr>
          <w:rFonts w:asciiTheme="majorHAnsi" w:hAnsiTheme="majorHAnsi" w:cstheme="majorHAnsi"/>
          <w:szCs w:val="24"/>
          <w:lang w:val="pt-BR"/>
        </w:rPr>
        <w:t>(2019). Quantifying the impact of public omics data. Nat Commun 10(1): 3512.</w:t>
      </w:r>
    </w:p>
    <w:p w14:paraId="016D60CE"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pt-BR"/>
        </w:rPr>
        <w:t xml:space="preserve">5 Rodrigues de Souza E., Almeida Cordeiro Nogueira H., da Silva Francisco Junior R., Garcia A. B. and Medina-Acosta E. (2025). </w:t>
      </w:r>
      <w:r w:rsidRPr="009B500E">
        <w:rPr>
          <w:rFonts w:asciiTheme="majorHAnsi" w:hAnsiTheme="majorHAnsi" w:cstheme="majorHAnsi"/>
          <w:szCs w:val="24"/>
        </w:rPr>
        <w:t xml:space="preserve">Integrated multi-optosis model for pan-cancer candidate biomarker and therapy target discovery. </w:t>
      </w:r>
      <w:r w:rsidRPr="009B500E">
        <w:rPr>
          <w:rFonts w:asciiTheme="majorHAnsi" w:hAnsiTheme="majorHAnsi" w:cstheme="majorHAnsi"/>
          <w:szCs w:val="24"/>
          <w:lang w:val="pt-BR"/>
        </w:rPr>
        <w:t>Front Bioinform 5: 1630518.</w:t>
      </w:r>
    </w:p>
    <w:p w14:paraId="5C275E87"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pt-BR"/>
        </w:rPr>
        <w:t xml:space="preserve">6 Rodrigues de Souza E., Almeida Cordeiro Nogueira H., dos Santos Lopes V. and Medina-Acosta E. (2026). </w:t>
      </w:r>
      <w:r w:rsidRPr="009B500E">
        <w:rPr>
          <w:rFonts w:asciiTheme="majorHAnsi" w:hAnsiTheme="majorHAnsi" w:cstheme="majorHAnsi"/>
          <w:szCs w:val="24"/>
        </w:rPr>
        <w:t>A Pan-Cancer Multi-Omic SuperLearner for Regulated Cell Death Survival Topologies. bioRxiv: 2026.2005.2029.728842.</w:t>
      </w:r>
    </w:p>
    <w:p w14:paraId="6D625AE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de-DE"/>
        </w:rPr>
        <w:t xml:space="preserve">7 Wang X., Wang Q., Zhao J., Chen J., Wu R., Pan J., et al. </w:t>
      </w:r>
      <w:r w:rsidRPr="009B500E">
        <w:rPr>
          <w:rFonts w:asciiTheme="majorHAnsi" w:hAnsiTheme="majorHAnsi" w:cstheme="majorHAnsi"/>
          <w:szCs w:val="24"/>
        </w:rPr>
        <w:t>(2024). RCDdb: A manually curated database and analysis platform for regulated cell death. Comput Struct Biotechnol J 23: 3211-3221.</w:t>
      </w:r>
    </w:p>
    <w:p w14:paraId="71453603"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07360E0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3FC3C1AF" w14:textId="77777777" w:rsidR="0013202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53EA2C71" w14:textId="77777777" w:rsidR="00B147AA" w:rsidRPr="009B500E" w:rsidRDefault="00B147AA" w:rsidP="009B500E">
      <w:pPr>
        <w:spacing w:after="0" w:line="240" w:lineRule="auto"/>
        <w:rPr>
          <w:rFonts w:asciiTheme="majorHAnsi" w:hAnsiTheme="majorHAnsi" w:cstheme="majorHAnsi"/>
          <w:szCs w:val="24"/>
        </w:rPr>
      </w:pPr>
    </w:p>
    <w:p w14:paraId="59B7CB08" w14:textId="77777777" w:rsidR="00764347" w:rsidRPr="009B500E" w:rsidRDefault="00764347" w:rsidP="009B500E">
      <w:pPr>
        <w:spacing w:after="0" w:line="240" w:lineRule="auto"/>
        <w:rPr>
          <w:rFonts w:asciiTheme="majorHAnsi" w:hAnsiTheme="majorHAnsi" w:cstheme="majorHAnsi"/>
          <w:b/>
          <w:bCs/>
          <w:szCs w:val="24"/>
        </w:rPr>
      </w:pPr>
    </w:p>
    <w:sectPr w:rsidR="00764347" w:rsidRPr="009B500E"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12T18:07:00Z" w:initials="EM">
    <w:p w14:paraId="142CE38E" w14:textId="22A0E58B" w:rsidR="002E2E0A" w:rsidRDefault="002E2E0A">
      <w:pPr>
        <w:pStyle w:val="Textodecomentrio"/>
      </w:pPr>
      <w:r>
        <w:rPr>
          <w:rStyle w:val="Refdecomentrio"/>
        </w:rPr>
        <w:annotationRef/>
      </w:r>
      <w:r>
        <w:t xml:space="preserve">Really three which includes the expert adjudication (manual verification). </w:t>
      </w:r>
      <w:proofErr w:type="spellStart"/>
      <w:r>
        <w:t>MJst</w:t>
      </w:r>
      <w:proofErr w:type="spellEnd"/>
      <w:r>
        <w:t xml:space="preserve"> </w:t>
      </w:r>
      <w:proofErr w:type="spellStart"/>
      <w:r>
        <w:t>reientegraye</w:t>
      </w:r>
      <w:proofErr w:type="spellEnd"/>
      <w:r>
        <w:t xml:space="preserve"> </w:t>
      </w:r>
      <w:proofErr w:type="spellStart"/>
      <w:r>
        <w:t>witht</w:t>
      </w:r>
      <w:proofErr w:type="spellEnd"/>
      <w:r>
        <w:t xml:space="preserve"> eh </w:t>
      </w:r>
      <w:proofErr w:type="spellStart"/>
      <w:r>
        <w:t>asjuducaio</w:t>
      </w:r>
      <w:proofErr w:type="spellEnd"/>
      <w:r>
        <w:t xml:space="preserve"> </w:t>
      </w:r>
      <w:proofErr w:type="spellStart"/>
      <w:r>
        <w:t>rsualys</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2CE3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B241AE" w16cex:dateUtc="2026-09-12T23: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2CE38E" w16cid:durableId="3CB241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DC935" w14:textId="77777777" w:rsidR="008725B9" w:rsidRDefault="008725B9" w:rsidP="007B760F">
      <w:pPr>
        <w:spacing w:after="0" w:line="240" w:lineRule="auto"/>
      </w:pPr>
      <w:r>
        <w:separator/>
      </w:r>
    </w:p>
  </w:endnote>
  <w:endnote w:type="continuationSeparator" w:id="0">
    <w:p w14:paraId="5EBBB3CF" w14:textId="77777777" w:rsidR="008725B9" w:rsidRDefault="008725B9"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6674F" w14:textId="77777777" w:rsidR="008725B9" w:rsidRDefault="008725B9" w:rsidP="007B760F">
      <w:pPr>
        <w:spacing w:after="0" w:line="240" w:lineRule="auto"/>
      </w:pPr>
      <w:r>
        <w:separator/>
      </w:r>
    </w:p>
  </w:footnote>
  <w:footnote w:type="continuationSeparator" w:id="0">
    <w:p w14:paraId="34AB2DB3" w14:textId="77777777" w:rsidR="008725B9" w:rsidRDefault="008725B9"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55CF67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10C33A0D"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aoFAHthmIw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113C4"/>
    <w:rsid w:val="00015DDB"/>
    <w:rsid w:val="00034616"/>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2097B"/>
    <w:rsid w:val="0013202B"/>
    <w:rsid w:val="00142F60"/>
    <w:rsid w:val="0015074B"/>
    <w:rsid w:val="00162DC1"/>
    <w:rsid w:val="001761FA"/>
    <w:rsid w:val="00177951"/>
    <w:rsid w:val="001779F6"/>
    <w:rsid w:val="001800ED"/>
    <w:rsid w:val="00180EB9"/>
    <w:rsid w:val="00187DB0"/>
    <w:rsid w:val="0019489D"/>
    <w:rsid w:val="001C0439"/>
    <w:rsid w:val="001C3B9A"/>
    <w:rsid w:val="001D4FC0"/>
    <w:rsid w:val="001E0E68"/>
    <w:rsid w:val="001F6597"/>
    <w:rsid w:val="001F6A83"/>
    <w:rsid w:val="002068DF"/>
    <w:rsid w:val="00211292"/>
    <w:rsid w:val="0021654E"/>
    <w:rsid w:val="0022059B"/>
    <w:rsid w:val="002227B6"/>
    <w:rsid w:val="00223010"/>
    <w:rsid w:val="00230384"/>
    <w:rsid w:val="0023385D"/>
    <w:rsid w:val="002432F8"/>
    <w:rsid w:val="002469FE"/>
    <w:rsid w:val="00264E95"/>
    <w:rsid w:val="00264F46"/>
    <w:rsid w:val="0026702C"/>
    <w:rsid w:val="00267451"/>
    <w:rsid w:val="002705CC"/>
    <w:rsid w:val="00275E31"/>
    <w:rsid w:val="0029639D"/>
    <w:rsid w:val="002A6C84"/>
    <w:rsid w:val="002C584C"/>
    <w:rsid w:val="002E19E0"/>
    <w:rsid w:val="002E2E0A"/>
    <w:rsid w:val="002E33E8"/>
    <w:rsid w:val="002E5FF2"/>
    <w:rsid w:val="002E6434"/>
    <w:rsid w:val="002E6683"/>
    <w:rsid w:val="002F1AA1"/>
    <w:rsid w:val="002F5184"/>
    <w:rsid w:val="00304AEF"/>
    <w:rsid w:val="0030592D"/>
    <w:rsid w:val="00324D4C"/>
    <w:rsid w:val="003263A0"/>
    <w:rsid w:val="00326F90"/>
    <w:rsid w:val="003271F9"/>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F3DE6"/>
    <w:rsid w:val="0041302C"/>
    <w:rsid w:val="00427439"/>
    <w:rsid w:val="00442ADB"/>
    <w:rsid w:val="0044319E"/>
    <w:rsid w:val="00444E7A"/>
    <w:rsid w:val="004450FD"/>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6FF"/>
    <w:rsid w:val="004E777D"/>
    <w:rsid w:val="004E7824"/>
    <w:rsid w:val="00505C00"/>
    <w:rsid w:val="00516472"/>
    <w:rsid w:val="00521B54"/>
    <w:rsid w:val="00526657"/>
    <w:rsid w:val="00533B0E"/>
    <w:rsid w:val="00536338"/>
    <w:rsid w:val="00541EEE"/>
    <w:rsid w:val="00570905"/>
    <w:rsid w:val="005739A1"/>
    <w:rsid w:val="005874C2"/>
    <w:rsid w:val="00593999"/>
    <w:rsid w:val="005A2A6D"/>
    <w:rsid w:val="005A5325"/>
    <w:rsid w:val="005A7DAD"/>
    <w:rsid w:val="005B369D"/>
    <w:rsid w:val="005C4538"/>
    <w:rsid w:val="005E1CBD"/>
    <w:rsid w:val="005E2A6F"/>
    <w:rsid w:val="005E3A73"/>
    <w:rsid w:val="005E4420"/>
    <w:rsid w:val="005F5CFD"/>
    <w:rsid w:val="00603234"/>
    <w:rsid w:val="00612139"/>
    <w:rsid w:val="006246B9"/>
    <w:rsid w:val="00635000"/>
    <w:rsid w:val="00637146"/>
    <w:rsid w:val="006408EE"/>
    <w:rsid w:val="0065188A"/>
    <w:rsid w:val="00655A19"/>
    <w:rsid w:val="00661FF5"/>
    <w:rsid w:val="00664FD0"/>
    <w:rsid w:val="00670D3F"/>
    <w:rsid w:val="0067483C"/>
    <w:rsid w:val="00676F2A"/>
    <w:rsid w:val="00685507"/>
    <w:rsid w:val="00694743"/>
    <w:rsid w:val="006A1146"/>
    <w:rsid w:val="006B0346"/>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4347"/>
    <w:rsid w:val="00777BD4"/>
    <w:rsid w:val="00783422"/>
    <w:rsid w:val="0078506A"/>
    <w:rsid w:val="00786491"/>
    <w:rsid w:val="00795995"/>
    <w:rsid w:val="007B760F"/>
    <w:rsid w:val="007B7E51"/>
    <w:rsid w:val="007C2253"/>
    <w:rsid w:val="008046DE"/>
    <w:rsid w:val="00810D11"/>
    <w:rsid w:val="0081379F"/>
    <w:rsid w:val="008147BF"/>
    <w:rsid w:val="00816B6F"/>
    <w:rsid w:val="00830D18"/>
    <w:rsid w:val="00840E12"/>
    <w:rsid w:val="00864C50"/>
    <w:rsid w:val="00871351"/>
    <w:rsid w:val="00871F46"/>
    <w:rsid w:val="008725B9"/>
    <w:rsid w:val="00896617"/>
    <w:rsid w:val="00897A3F"/>
    <w:rsid w:val="008A62B5"/>
    <w:rsid w:val="00901630"/>
    <w:rsid w:val="0090277D"/>
    <w:rsid w:val="009045FD"/>
    <w:rsid w:val="009076EB"/>
    <w:rsid w:val="0091541F"/>
    <w:rsid w:val="00916CE4"/>
    <w:rsid w:val="00917D83"/>
    <w:rsid w:val="00921C18"/>
    <w:rsid w:val="00925876"/>
    <w:rsid w:val="00931779"/>
    <w:rsid w:val="00935B55"/>
    <w:rsid w:val="00947DDC"/>
    <w:rsid w:val="00980C69"/>
    <w:rsid w:val="0098148B"/>
    <w:rsid w:val="00985363"/>
    <w:rsid w:val="00993354"/>
    <w:rsid w:val="009A2EA1"/>
    <w:rsid w:val="009A3061"/>
    <w:rsid w:val="009A460B"/>
    <w:rsid w:val="009B14C2"/>
    <w:rsid w:val="009B500E"/>
    <w:rsid w:val="009C5F08"/>
    <w:rsid w:val="00A00534"/>
    <w:rsid w:val="00A224F5"/>
    <w:rsid w:val="00A24850"/>
    <w:rsid w:val="00A30E1D"/>
    <w:rsid w:val="00A3490D"/>
    <w:rsid w:val="00A36429"/>
    <w:rsid w:val="00A4745B"/>
    <w:rsid w:val="00A63D1A"/>
    <w:rsid w:val="00A82408"/>
    <w:rsid w:val="00A82E1A"/>
    <w:rsid w:val="00A840DC"/>
    <w:rsid w:val="00AA1D8D"/>
    <w:rsid w:val="00AA511A"/>
    <w:rsid w:val="00AB0CA0"/>
    <w:rsid w:val="00AB48D6"/>
    <w:rsid w:val="00AC138D"/>
    <w:rsid w:val="00AC1A2B"/>
    <w:rsid w:val="00AE6AFF"/>
    <w:rsid w:val="00B04B4F"/>
    <w:rsid w:val="00B13B32"/>
    <w:rsid w:val="00B147AA"/>
    <w:rsid w:val="00B204AE"/>
    <w:rsid w:val="00B231C6"/>
    <w:rsid w:val="00B32292"/>
    <w:rsid w:val="00B32DFC"/>
    <w:rsid w:val="00B47730"/>
    <w:rsid w:val="00B731FF"/>
    <w:rsid w:val="00B7740E"/>
    <w:rsid w:val="00B82BB0"/>
    <w:rsid w:val="00B86FC4"/>
    <w:rsid w:val="00B9076D"/>
    <w:rsid w:val="00B930D3"/>
    <w:rsid w:val="00B966FA"/>
    <w:rsid w:val="00B97F4B"/>
    <w:rsid w:val="00BA2B2A"/>
    <w:rsid w:val="00BB5EC5"/>
    <w:rsid w:val="00BC2B1E"/>
    <w:rsid w:val="00BC2C18"/>
    <w:rsid w:val="00BC306B"/>
    <w:rsid w:val="00BD21B6"/>
    <w:rsid w:val="00BD7710"/>
    <w:rsid w:val="00BF0B02"/>
    <w:rsid w:val="00C00F6A"/>
    <w:rsid w:val="00C10047"/>
    <w:rsid w:val="00C11CC9"/>
    <w:rsid w:val="00C22E1A"/>
    <w:rsid w:val="00C26D91"/>
    <w:rsid w:val="00C347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D01B24"/>
    <w:rsid w:val="00D11423"/>
    <w:rsid w:val="00D116F4"/>
    <w:rsid w:val="00D12587"/>
    <w:rsid w:val="00D16F02"/>
    <w:rsid w:val="00D569A8"/>
    <w:rsid w:val="00D710BD"/>
    <w:rsid w:val="00D71E3F"/>
    <w:rsid w:val="00D75735"/>
    <w:rsid w:val="00D87307"/>
    <w:rsid w:val="00DA091E"/>
    <w:rsid w:val="00DD6AA9"/>
    <w:rsid w:val="00DE0257"/>
    <w:rsid w:val="00DF7BA4"/>
    <w:rsid w:val="00E11301"/>
    <w:rsid w:val="00E23161"/>
    <w:rsid w:val="00E31565"/>
    <w:rsid w:val="00E33A79"/>
    <w:rsid w:val="00E4335B"/>
    <w:rsid w:val="00E54383"/>
    <w:rsid w:val="00E61543"/>
    <w:rsid w:val="00E7670C"/>
    <w:rsid w:val="00E82E99"/>
    <w:rsid w:val="00E859DE"/>
    <w:rsid w:val="00E91B38"/>
    <w:rsid w:val="00EA6C20"/>
    <w:rsid w:val="00EA778E"/>
    <w:rsid w:val="00EB23ED"/>
    <w:rsid w:val="00EC5F2D"/>
    <w:rsid w:val="00ED79E0"/>
    <w:rsid w:val="00EF0CC9"/>
    <w:rsid w:val="00EF1CCE"/>
    <w:rsid w:val="00EF63EC"/>
    <w:rsid w:val="00F21EC4"/>
    <w:rsid w:val="00F41A82"/>
    <w:rsid w:val="00F42F0E"/>
    <w:rsid w:val="00F46D86"/>
    <w:rsid w:val="00F51FFA"/>
    <w:rsid w:val="00F70510"/>
    <w:rsid w:val="00F7090A"/>
    <w:rsid w:val="00F75A43"/>
    <w:rsid w:val="00F83CAB"/>
    <w:rsid w:val="00FA7725"/>
    <w:rsid w:val="00FB41C5"/>
    <w:rsid w:val="00FC261A"/>
    <w:rsid w:val="00FC693F"/>
    <w:rsid w:val="00FD2A2E"/>
    <w:rsid w:val="00FD37F8"/>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13904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pcm2019.shinyapps.io/XDeathDB"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microsoft.com/office/2011/relationships/commentsExtended" Target="commentsExtended.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49" Type="http://schemas.openxmlformats.org/officeDocument/2006/relationships/theme" Target="theme/theme1.xm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microsoft.com/office/2016/09/relationships/commentsIds" Target="commentsIds.xml"/><Relationship Id="rId48" Type="http://schemas.microsoft.com/office/2011/relationships/people" Target="peop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 Id="rId46" Type="http://schemas.openxmlformats.org/officeDocument/2006/relationships/hyperlink" Target="https://github.com/BioCancerInformatics/RCDome" TargetMode="External"/><Relationship Id="rId20" Type="http://schemas.openxmlformats.org/officeDocument/2006/relationships/hyperlink" Target="http://auto2disease.nwsuaflmz.com" TargetMode="External"/><Relationship Id="rId41"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674</TotalTime>
  <Pages>1</Pages>
  <Words>17781</Words>
  <Characters>97798</Characters>
  <Application>Microsoft Office Word</Application>
  <DocSecurity>0</DocSecurity>
  <Lines>814</Lines>
  <Paragraphs>230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115349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152</cp:revision>
  <dcterms:created xsi:type="dcterms:W3CDTF">2013-12-23T23:15:00Z</dcterms:created>
  <dcterms:modified xsi:type="dcterms:W3CDTF">2026-09-12T23:08:00Z</dcterms:modified>
  <cp:category/>
</cp:coreProperties>
</file>