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checked against the primary literature. We therefore built RCDome to answer the most basic question a researcher should be able to ask: where did this gene-RCD association come from, and what is the evidence? RCDome is a multi-database human gene atlas that compiles, normalizes, and independently validates every gene-RCD association under a governance contract enforced as executable code. Five compilation channels (PubMed Boolean search, curated databases, AI-assisted screening, manual curation, and Elicit systematic review) were consolidated into a unified matrix; 62 original name strings were canonicalized into 53 RCD-related entities, whose operational definitions and ontological levels were curator-adjudicated; and every association was verified through a two-call independent large language model (LLM) architecture, deep full-text evidence extraction, and a third consensus channel, with an anti-hallucination framework that rejects any claim not found verbatim in its source. The compendium holds 22,473 association rows spanning 9,265 unique HGNC-validated genes (21,568 unique gene-RCD pairs). Chain-of-thought classification resolved 10,016 pairs (46.4%) as mechanistically involved; of these, only 469 (4.7%) are executors and 9,489 (94.7%) are regulators,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honest about its own uncertainty. The compendium, extraction pipeline, and web application are publicly available.</w:t>
      </w:r>
      <w:r w:rsidRPr="00015F1D">
        <w:rPr>
          <w:rFonts w:asciiTheme="majorHAnsi" w:hAnsiTheme="majorHAnsi" w:cstheme="majorHAnsi"/>
          <w:szCs w:val="24"/>
          <w:highlight w:val="yellow"/>
        </w:rPr>
      </w:r>
      <w:r w:rsidRPr="002D15AA">
        <w:rPr>
          <w:rFonts w:asciiTheme="majorHAnsi" w:hAnsiTheme="majorHAnsi" w:cstheme="majorHAnsi"/>
          <w:szCs w:val="24"/>
        </w:rPr>
      </w:r>
      <w:r w:rsidR="00763D17" w:rsidRPr="00763D17">
        <w:rPr>
          <w:rFonts w:asciiTheme="majorHAnsi" w:hAnsiTheme="majorHAnsi" w:cstheme="majorHAnsi"/>
          <w:szCs w:val="24"/>
          <w:highlight w:val="yellow"/>
        </w:rPr>
      </w:r>
      <w:r w:rsidR="00763D17">
        <w:rPr>
          <w:rFonts w:asciiTheme="majorHAnsi" w:hAnsiTheme="majorHAnsi" w:cstheme="majorHAnsi"/>
          <w:szCs w:val="24"/>
        </w:rPr>
      </w:r>
      <w:r w:rsidRPr="002D15AA">
        <w:rPr>
          <w:rFonts w:asciiTheme="majorHAnsi" w:hAnsiTheme="majorHAnsi" w:cstheme="majorHAnsi"/>
          <w:szCs w:val="24"/>
        </w:rPr>
      </w:r>
      <w:r w:rsidR="00763D17">
        <w:rPr>
          <w:rFonts w:asciiTheme="majorHAnsi" w:hAnsiTheme="majorHAnsi" w:cstheme="majorHAnsi"/>
          <w:szCs w:val="24"/>
        </w:rPr>
      </w:r>
      <w:r w:rsidR="00763D17" w:rsidRPr="00763D17">
        <w:rPr>
          <w:rFonts w:asciiTheme="majorHAnsi" w:hAnsiTheme="majorHAnsi" w:cstheme="majorHAnsi"/>
          <w:szCs w:val="24"/>
          <w:highlight w:val="yellow"/>
        </w:rPr>
      </w:r>
      <w:r w:rsidR="00763D17">
        <w:rPr>
          <w:rFonts w:asciiTheme="majorHAnsi" w:hAnsiTheme="majorHAnsi" w:cstheme="majorHAnsi"/>
          <w:szCs w:val="24"/>
        </w:rPr>
      </w:r>
      <w:r w:rsidRPr="002D15AA">
        <w:rPr>
          <w:rFonts w:asciiTheme="majorHAnsi" w:hAnsiTheme="majorHAnsi" w:cstheme="majorHAnsi"/>
          <w:szCs w:val="24"/>
        </w:rPr>
      </w:r>
      <w:r w:rsidR="00763D17" w:rsidRPr="00763D17">
        <w:rPr>
          <w:rFonts w:asciiTheme="majorHAnsi" w:hAnsiTheme="majorHAnsi" w:cstheme="majorHAnsi"/>
          <w:szCs w:val="24"/>
          <w:highlight w:val="yellow"/>
        </w:rPr>
      </w:r>
      <w:r w:rsidRPr="002D15AA">
        <w:rPr>
          <w:rFonts w:asciiTheme="majorHAnsi" w:hAnsiTheme="majorHAnsi" w:cstheme="majorHAnsi"/>
          <w:szCs w:val="24"/>
        </w:rPr>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Building on this framework, 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lastRenderedPageBreak/>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w:t>
      </w:r>
      <w:r w:rsidRPr="002D15AA">
        <w:rPr>
          <w:rFonts w:asciiTheme="majorHAnsi" w:hAnsiTheme="majorHAnsi" w:cstheme="majorHAnsi"/>
          <w:szCs w:val="24"/>
        </w:rPr>
        <w:lastRenderedPageBreak/>
        <w:t>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0F00F559" w14:textId="77777777" w:rsidR="007B760F" w:rsidRPr="002D15AA" w:rsidRDefault="00A840DC"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4827F6EC" w14:textId="77777777" w:rsidR="00175EDA" w:rsidRDefault="00175EDA" w:rsidP="002D15AA">
      <w:pPr>
        <w:pStyle w:val="Ttulo2"/>
        <w:spacing w:before="0" w:line="240" w:lineRule="auto"/>
        <w:rPr>
          <w:rFonts w:cstheme="majorHAnsi"/>
          <w:sz w:val="24"/>
          <w:szCs w:val="24"/>
        </w:rPr>
      </w:pPr>
    </w:p>
    <w:p w14:paraId="08531EA7" w14:textId="240AA9FC"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w:t>
      </w:r>
      <w:r w:rsidRPr="002D15AA">
        <w:rPr>
          <w:rFonts w:asciiTheme="majorHAnsi" w:hAnsiTheme="majorHAnsi" w:cstheme="majorHAnsi"/>
          <w:szCs w:val="24"/>
        </w:rPr>
        <w:lastRenderedPageBreak/>
        <w:t>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(two-call review and the Knock Test). The RCDome controlled vocabulary comprises 53 canonicalized RCD-related entities, where “</w:t>
      </w:r>
      <w:r w:rsidRPr="00664F02">
        <w:rPr>
          <w:rFonts w:asciiTheme="majorHAnsi" w:hAnsiTheme="majorHAnsi" w:cstheme="majorHAnsi"/>
          <w:szCs w:val="24"/>
          <w:highlight w:val="yellow"/>
        </w:rPr>
        <w:t>canonicalized” denotes normalization to a preferred RCDome vocabulary identifier rather than recognition as a canonical or established RCD modality;</w:t>
      </w:r>
      <w:r w:rsidRPr="002D15AA">
        <w:rPr>
          <w:rFonts w:asciiTheme="majorHAnsi" w:hAnsiTheme="majorHAnsi" w:cstheme="majorHAnsi"/>
          <w:szCs w:val="24"/>
        </w:rPr>
        <w:t xml:space="preserve"> it is derived from the unified gene-RCD evidence matrix (Database S1; 22,473 rows; 21,568 gene-RCD pairs). The controlled vocabulary is fixed and is not modified by downstream definition work</w:t>
      </w:r>
      <w:r w:rsidR="00664F02">
        <w:rPr>
          <w:rFonts w:asciiTheme="majorHAnsi" w:hAnsiTheme="majorHAnsi" w:cstheme="majorHAnsi"/>
          <w:szCs w:val="24"/>
        </w:rPr>
        <w:t xml:space="preserve">, </w:t>
      </w:r>
      <w:r w:rsidR="00664F02" w:rsidRPr="00664F02">
        <w:rPr>
          <w:rFonts w:asciiTheme="majorHAnsi" w:hAnsiTheme="majorHAnsi" w:cstheme="majorHAnsi"/>
          <w:szCs w:val="24"/>
          <w:highlight w:val="green"/>
        </w:rPr>
        <w:t>except manual curation</w:t>
      </w:r>
      <w:r w:rsidRPr="00664F02">
        <w:rPr>
          <w:rFonts w:asciiTheme="majorHAnsi" w:hAnsiTheme="majorHAnsi" w:cstheme="majorHAnsi"/>
          <w:szCs w:val="24"/>
          <w:highlight w:val="green"/>
        </w:rPr>
        <w:t>.</w:t>
      </w:r>
      <w:r w:rsidRPr="002D15AA">
        <w:rPr>
          <w:rFonts w:asciiTheme="majorHAnsi" w:hAnsiTheme="majorHAnsi" w:cstheme="majorHAnsi"/>
          <w:szCs w:val="24"/>
        </w:rPr>
        <w:t xml:space="preserve"> Each entity's operational definition was assigned from the highest-priority source available, in the order: (i) the verbatim operational definitions of the Nomenclature Committee on Cell Death (NCCD; </w:t>
      </w:r>
      <w:r w:rsidR="00664F02" w:rsidRPr="00664F02">
        <w:rPr>
          <w:rFonts w:asciiTheme="majorHAnsi" w:hAnsiTheme="majorHAnsi" w:cstheme="majorHAnsi"/>
          <w:szCs w:val="24"/>
          <w:highlight w:val="yellow"/>
        </w:rPr>
        <w:t>{Galluzzi, 2018 #782025}</w:t>
      </w:r>
      <w:r w:rsidRPr="002D15AA">
        <w:rPr>
          <w:rFonts w:asciiTheme="majorHAnsi" w:hAnsiTheme="majorHAnsi" w:cstheme="majorHAnsi"/>
          <w:szCs w:val="24"/>
        </w:rPr>
        <w:t>), treated as invariant (content and meaning never altered); (ii) the expanded operational definitions of our prior study (</w:t>
      </w:r>
      <w:r w:rsidR="00664F02" w:rsidRPr="00664F02">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w:t>
      </w:r>
      <w:r w:rsidRPr="002D15AA">
        <w:rPr>
          <w:rFonts w:asciiTheme="majorHAnsi" w:hAnsiTheme="majorHAnsi" w:cstheme="majorHAnsi"/>
          <w:szCs w:val="24"/>
        </w:rPr>
        <w:lastRenderedPageBreak/>
        <w:t xml:space="preserve">morphology, explicit naming in a peer-reviewed publication, and pharmacological or genetic modulation) and structured in the ten-field multi-optosis format, which the RCDome record expands to the 29 definition fields described below </w:t>
      </w:r>
      <w:r w:rsidRPr="00664F02">
        <w:rPr>
          <w:rFonts w:asciiTheme="majorHAnsi" w:hAnsiTheme="majorHAnsi" w:cstheme="majorHAnsi"/>
          <w:szCs w:val="24"/>
          <w:highlight w:val="magenta"/>
        </w:rPr>
        <w:t>(plus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w:t>
      </w:r>
      <w:r w:rsidR="00C2239D" w:rsidRPr="00C2239D">
        <w:rPr>
          <w:rFonts w:asciiTheme="majorHAnsi" w:hAnsiTheme="majorHAnsi" w:cstheme="majorHAnsi"/>
          <w:szCs w:val="24"/>
        </w:rPr>
        <w:t>.</w:t>
      </w:r>
      <w:r w:rsidR="00C2239D">
        <w:rPr>
          <w:rFonts w:asciiTheme="majorHAnsi" w:hAnsiTheme="majorHAnsi" w:cstheme="majorHAnsi"/>
          <w:szCs w:val="24"/>
        </w:rPr>
        <w:t xml:space="preserve"> </w:t>
      </w:r>
      <w:r w:rsidRPr="002D15AA">
        <w:rPr>
          <w:rFonts w:asciiTheme="majorHAnsi" w:hAnsiTheme="majorHAnsi" w:cstheme="majorHAnsi"/>
          <w:szCs w:val="24"/>
        </w:rPr>
        <w:t xml:space="preserve">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w:t>
      </w:r>
      <w:r w:rsidRPr="002D15AA">
        <w:rPr>
          <w:rFonts w:asciiTheme="majorHAnsi" w:hAnsiTheme="majorHAnsi" w:cstheme="majorHAnsi"/>
          <w:szCs w:val="24"/>
        </w:rPr>
        <w:lastRenderedPageBreak/>
        <w:t>matrix objective inputs (gene count, mechanistic classification ratio, evidence-tier distribution, and discovery year) and then subjected to two-call human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w:t>
      </w:r>
      <w:r w:rsidRPr="002D15AA">
        <w:rPr>
          <w:rFonts w:asciiTheme="majorHAnsi" w:hAnsiTheme="majorHAnsi" w:cstheme="majorHAnsi"/>
          <w:szCs w:val="24"/>
        </w:rPr>
        <w:lastRenderedPageBreak/>
        <w:t>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w:t>
      </w:r>
      <w:r w:rsidR="00152364">
        <w:rPr>
          <w:rFonts w:asciiTheme="majorHAnsi" w:hAnsiTheme="majorHAnsi" w:cstheme="majorHAnsi"/>
          <w:szCs w:val="24"/>
        </w:rPr>
        <w:t xml:space="preserve"> </w:t>
      </w:r>
      <w:r w:rsidR="00152364" w:rsidRPr="00152364">
        <w:rPr>
          <w:rFonts w:asciiTheme="majorHAnsi" w:hAnsiTheme="majorHAnsi" w:cstheme="majorHAnsi"/>
          <w:szCs w:val="24"/>
          <w:highlight w:val="yellow"/>
        </w:rPr>
        <w:t>{Rodrigues de Souza, 2025 #782030}</w:t>
      </w:r>
      <w:r w:rsidRPr="002D15AA">
        <w:rPr>
          <w:rFonts w:asciiTheme="majorHAnsi" w:hAnsiTheme="majorHAnsi" w:cstheme="majorHAnsi"/>
          <w:szCs w:val="24"/>
        </w:rPr>
        <w:t>,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w:t>
      </w:r>
      <w:r w:rsidRPr="002D15AA">
        <w:rPr>
          <w:rFonts w:asciiTheme="majorHAnsi" w:hAnsiTheme="majorHAnsi" w:cstheme="majorHAnsi"/>
          <w:szCs w:val="24"/>
        </w:rPr>
        <w:lastRenderedPageBreak/>
        <w:t>RS1–RS6 values is reported as Cohen's κ (target ≥ 0.80). All definition-building code and the resulting 53-entity decoder are provided in the reproducibility repository. The two-call human review was completed with approval of all 336 drafted fields, and each decision is logged; inter-rater agreement between the drafted and human-reviewed values is reported as Cohen's κ where the review includes independent edits.</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xml:space="preserve">) and BioGRID </w:t>
      </w:r>
      <w:r w:rsidRPr="002D15AA">
        <w:rPr>
          <w:rFonts w:asciiTheme="majorHAnsi" w:hAnsiTheme="majorHAnsi" w:cstheme="majorHAnsi"/>
          <w:szCs w:val="24"/>
        </w:rPr>
        <w:lastRenderedPageBreak/>
        <w:t>(</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w:t>
      </w:r>
      <w:r w:rsidRPr="002D15AA">
        <w:rPr>
          <w:rFonts w:asciiTheme="majorHAnsi" w:hAnsiTheme="majorHAnsi" w:cstheme="majorHAnsi"/>
          <w:szCs w:val="24"/>
        </w:rPr>
        <w:lastRenderedPageBreak/>
        <w:t xml:space="preserve">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r w:rsidRPr="002D15AA">
        <w:rPr>
          <w:rFonts w:asciiTheme="majorHAnsi" w:hAnsiTheme="majorHAnsi" w:cstheme="majorHAnsi"/>
          <w:szCs w:val="24"/>
        </w:rPr>
      </w:r>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individual entity-by-entity review and approval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evidence_quality classification reflecting the nature of the source evidence. Associations derived from manually curated databases </w:t>
      </w:r>
      <w:r w:rsidRPr="002D15AA">
        <w:rPr>
          <w:rFonts w:asciiTheme="majorHAnsi" w:hAnsiTheme="majorHAnsi" w:cstheme="majorHAnsi"/>
          <w:szCs w:val="24"/>
        </w:rPr>
        <w:lastRenderedPageBreak/>
        <w:t>(FerrDB,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 xml:space="preserve">Calcioptosis: Calcium is a universal second messenger involved in the initiation of multiple RCD forms, including apoptosis (cytochrome c release), MPT-driven necrosis (mitochondrial </w:t>
      </w:r>
      <w:r w:rsidR="00921C18" w:rsidRPr="002D15AA">
        <w:rPr>
          <w:rFonts w:asciiTheme="majorHAnsi" w:hAnsiTheme="majorHAnsi" w:cstheme="majorHAnsi"/>
          <w:color w:val="auto"/>
          <w:szCs w:val="24"/>
        </w:rPr>
        <w:lastRenderedPageBreak/>
        <w:t>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r w:rsidRPr="00D36884">
        <w:rPr>
          <w:rFonts w:asciiTheme="majorHAnsi" w:hAnsiTheme="majorHAnsi" w:cstheme="majorHAnsi"/>
          <w:szCs w:val="24"/>
          <w:highlight w:val="green"/>
        </w:rPr>
      </w:r>
      <w:r w:rsidRPr="002D15AA">
        <w:rPr>
          <w:rFonts w:asciiTheme="majorHAnsi" w:hAnsiTheme="majorHAnsi" w:cstheme="majorHAnsi"/>
          <w:szCs w:val="24"/>
        </w:rPr>
      </w:r>
      <w:r w:rsidRPr="00D36884">
        <w:rPr>
          <w:rFonts w:asciiTheme="majorHAnsi" w:hAnsiTheme="majorHAnsi" w:cstheme="majorHAnsi"/>
          <w:szCs w:val="24"/>
          <w:highlight w:val="green"/>
        </w:rPr>
      </w:r>
      <w:r w:rsidRPr="002D15AA">
        <w:rPr>
          <w:rFonts w:asciiTheme="majorHAnsi" w:hAnsiTheme="majorHAnsi" w:cstheme="majorHAnsi"/>
          <w:szCs w:val="24"/>
        </w:rPr>
      </w:r>
      <w:r w:rsidRPr="00D36884">
        <w:rPr>
          <w:rFonts w:asciiTheme="majorHAnsi" w:hAnsiTheme="majorHAnsi" w:cstheme="majorHAnsi"/>
          <w:szCs w:val="24"/>
          <w:highlight w:val="green"/>
        </w:rPr>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lastRenderedPageBreak/>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w:t>
      </w:r>
      <w:r w:rsidRPr="002D15AA">
        <w:rPr>
          <w:rFonts w:asciiTheme="majorHAnsi" w:hAnsiTheme="majorHAnsi" w:cstheme="majorHAnsi"/>
          <w:szCs w:val="24"/>
        </w:rPr>
        <w:lastRenderedPageBreak/>
        <w:t xml:space="preserve">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w:t>
      </w:r>
      <w:r w:rsidRPr="006B4852">
        <w:rPr>
          <w:rFonts w:asciiTheme="majorHAnsi" w:hAnsiTheme="majorHAnsi" w:cstheme="majorHAnsi"/>
          <w:szCs w:val="24"/>
        </w:rPr>
        <w:lastRenderedPageBreak/>
        <w:t>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r w:rsidRPr="00C02067">
        <w:rPr>
          <w:rFonts w:asciiTheme="majorHAnsi" w:hAnsiTheme="majorHAnsi" w:cstheme="majorHAnsi"/>
          <w:szCs w:val="24"/>
          <w:highlight w:val="green"/>
        </w:rPr>
      </w:r>
      <w:r w:rsidRPr="002D15AA">
        <w:rPr>
          <w:rFonts w:asciiTheme="majorHAnsi" w:hAnsiTheme="majorHAnsi" w:cstheme="majorHAnsi"/>
          <w:szCs w:val="24"/>
        </w:rPr>
      </w:r>
      <w:r w:rsidRPr="002D15AA">
        <w:rPr>
          <w:rFonts w:asciiTheme="majorHAnsi" w:hAnsiTheme="majorHAnsi" w:cstheme="majorHAnsi"/>
          <w:szCs w:val="24"/>
        </w:rPr>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w:t>
      </w:r>
      <w:r w:rsidRPr="002D15AA">
        <w:rPr>
          <w:rFonts w:asciiTheme="majorHAnsi" w:hAnsiTheme="majorHAnsi" w:cstheme="majorHAnsi"/>
          <w:szCs w:val="24"/>
        </w:rPr>
        <w:lastRenderedPageBreak/>
        <w:t>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 xml:space="preserve">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w:t>
      </w:r>
      <w:r w:rsidRPr="002D15AA">
        <w:rPr>
          <w:rFonts w:asciiTheme="majorHAnsi" w:hAnsiTheme="majorHAnsi" w:cstheme="majorHAnsi"/>
          <w:szCs w:val="24"/>
        </w:rPr>
        <w:lastRenderedPageBreak/>
        <w:t>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w:t>
      </w:r>
      <w:r w:rsidRPr="002D15AA">
        <w:rPr>
          <w:rFonts w:asciiTheme="majorHAnsi" w:hAnsiTheme="majorHAnsi" w:cstheme="majorHAnsi"/>
          <w:szCs w:val="24"/>
        </w:rPr>
        <w:lastRenderedPageBreak/>
        <w:t>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w:t>
      </w:r>
      <w:r w:rsidRPr="002D15AA">
        <w:rPr>
          <w:rFonts w:asciiTheme="majorHAnsi" w:hAnsiTheme="majorHAnsi" w:cstheme="majorHAnsi"/>
          <w:szCs w:val="24"/>
        </w:rPr>
        <w:lastRenderedPageBreak/>
        <w:t xml:space="preserve">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2D15AA">
        <w:rPr>
          <w:rFonts w:asciiTheme="majorHAnsi" w:hAnsiTheme="majorHAnsi" w:cstheme="majorHAnsi"/>
          <w:szCs w:val="24"/>
        </w:rPr>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r w:rsidRPr="002D15AA">
        <w:rPr>
          <w:rFonts w:asciiTheme="majorHAnsi" w:hAnsiTheme="majorHAnsi" w:cstheme="majorHAnsi"/>
          <w:szCs w:val="24"/>
        </w:rPr>
      </w:r>
    </w:p>
    <w:p>
      <w:r>
        <w:t xml:space="preserve">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w:t>
      </w:r>
      <w:r w:rsidRPr="002D15AA">
        <w:rPr>
          <w:rFonts w:asciiTheme="majorHAnsi" w:hAnsiTheme="majorHAnsi" w:cstheme="majorHAnsi"/>
          <w:szCs w:val="24"/>
        </w:rPr>
        <w:lastRenderedPageBreak/>
        <w:t xml:space="preserve">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w:t>
      </w:r>
      <w:r w:rsidRPr="002D15AA">
        <w:rPr>
          <w:rFonts w:asciiTheme="majorHAnsi" w:hAnsiTheme="majorHAnsi" w:cstheme="majorHAnsi"/>
          <w:szCs w:val="24"/>
        </w:rPr>
        <w:lastRenderedPageBreak/>
        <w:t>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r w:rsidRPr="002D15AA">
        <w:rPr>
          <w:rFonts w:asciiTheme="majorHAnsi" w:hAnsiTheme="majorHAnsi" w:cstheme="majorHAnsi"/>
          <w:szCs w:val="24"/>
        </w:rPr>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w:t>
      </w:r>
      <w:r w:rsidRPr="002D15AA">
        <w:rPr>
          <w:rFonts w:asciiTheme="majorHAnsi" w:hAnsiTheme="majorHAnsi" w:cstheme="majorHAnsi"/>
          <w:b/>
          <w:szCs w:val="24"/>
        </w:rPr>
        <w:lastRenderedPageBreak/>
        <w:t>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w:t>
      </w:r>
      <w:r w:rsidRPr="002D15AA">
        <w:rPr>
          <w:rFonts w:asciiTheme="majorHAnsi" w:hAnsiTheme="majorHAnsi" w:cstheme="majorHAnsi"/>
          <w:bCs/>
          <w:szCs w:val="24"/>
        </w:rPr>
        <w:lastRenderedPageBreak/>
        <w:t>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AE25D" w14:textId="77777777" w:rsidR="007F273A" w:rsidRDefault="007F273A" w:rsidP="007B760F">
      <w:pPr>
        <w:spacing w:after="0" w:line="240" w:lineRule="auto"/>
      </w:pPr>
      <w:r>
        <w:separator/>
      </w:r>
    </w:p>
  </w:endnote>
  <w:endnote w:type="continuationSeparator" w:id="0">
    <w:p w14:paraId="545BA438" w14:textId="77777777" w:rsidR="007F273A" w:rsidRDefault="007F273A"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12E22" w14:textId="77777777" w:rsidR="007F273A" w:rsidRDefault="007F273A" w:rsidP="007B760F">
      <w:pPr>
        <w:spacing w:after="0" w:line="240" w:lineRule="auto"/>
      </w:pPr>
      <w:r>
        <w:separator/>
      </w:r>
    </w:p>
  </w:footnote>
  <w:footnote w:type="continuationSeparator" w:id="0">
    <w:p w14:paraId="158F3698" w14:textId="77777777" w:rsidR="007F273A" w:rsidRDefault="007F273A"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sagFAPGJd3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5DDB"/>
    <w:rsid w:val="00015F1D"/>
    <w:rsid w:val="00034616"/>
    <w:rsid w:val="00041468"/>
    <w:rsid w:val="0004236B"/>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96617"/>
    <w:rsid w:val="00897A3F"/>
    <w:rsid w:val="008A62B5"/>
    <w:rsid w:val="008F108E"/>
    <w:rsid w:val="00901630"/>
    <w:rsid w:val="0090277D"/>
    <w:rsid w:val="009045FD"/>
    <w:rsid w:val="009076EB"/>
    <w:rsid w:val="0091541F"/>
    <w:rsid w:val="00916CE4"/>
    <w:rsid w:val="00917D83"/>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1082</TotalTime>
  <Pages>1</Pages>
  <Words>19842</Words>
  <Characters>109133</Characters>
  <Application>Microsoft Office Word</Application>
  <DocSecurity>0</DocSecurity>
  <Lines>909</Lines>
  <Paragraphs>257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204</cp:revision>
  <dcterms:created xsi:type="dcterms:W3CDTF">2013-12-23T23:15:00Z</dcterms:created>
  <dcterms:modified xsi:type="dcterms:W3CDTF">2026-09-24T03:01:00Z</dcterms:modified>
  <cp:category/>
</cp:coreProperties>
</file>