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16 of the 53 entities satisfy the G0–G6 hard-gate criteria for classification as bona fide RCD modalities. The 53 entities are organized into: 19 RCD modalities (bona fide cell death mechanisms with distinct molecular machinery, admitted through the G0-G6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16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(64.7%) while the Functional/contextual categories (L4) are the most dilute (23.9%), with the Generic/umbrella/taxon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