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(generic/umbrella/legacy/taxon/emerging).</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generic/umbrella/legacy/taxon/emerging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S2. Mechanistic associations per source, stacked by RCD entity ontological level. </w:t>
      </w:r>
      <w:r w:rsidRPr="00FE7B70">
        <w:rPr>
          <w:rFonts w:asciiTheme="majorHAnsi" w:hAnsiTheme="majorHAnsi" w:cstheme="majorHAnsi"/>
          <w:bCs/>
          <w:szCs w:val="24"/>
        </w:rPr>
        <w:t>Each bar shows the number of gene–RCD associations classified as mechanistically involved by the DeepSeek chain-of-thought run (cot_mechanistic = YES), segmented by the ontological level of the corresponding RCD entity: L1 modalities (16 entities), L2 subtypes (5), L3 triggers (2), L4 functional/contextual (11), and L5 generic/umbrella/legacy/taxon/emerging (19).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