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2026년 임업통계 활용 경진대회  |  데이터 분석 부문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1F5A38"/>
          <w:sz w:val="38"/>
        </w:rPr>
        <w:t>임가별 수익률 예측과 처방을 제공하는</w:t>
        <w:br/>
        <w:t>임업 의사결정 지원 시스템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— 임업통계 마이크로데이터 4종 + 공공데이터 3종 융복합 —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color w:val="1A1E21"/>
          <w:sz w:val="25"/>
        </w:rPr>
        <w:t>팀명 : 임과 함께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04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구분</w:t>
            </w:r>
          </w:p>
          <w:shd w:val="clear" w:fill="E8EFEA"/>
        </w:tc>
        <w:tc>
          <w:tcPr>
            <w:tcW w:type="dxa" w:w="725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내용</w:t>
            </w:r>
          </w:p>
          <w:shd w:val="clear" w:fill="E8EFEA"/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공모 분야</w:t>
            </w:r>
          </w:p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데이터 분석</w:t>
            </w:r>
          </w:p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활용 통계 (필수)</w:t>
            </w:r>
          </w:p>
          <w:shd w:val="clear" w:fill="F7F9F8"/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 · 임산물생산비조사 · 임산물생산조사 · 임업경영실태조사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융복합 공공데이터</w:t>
            </w:r>
          </w:p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도매가격(aT) · 기상청 ASOS · 산림사업 보조금 목록 · 행정구역 경계</w:t>
            </w:r>
          </w:p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표본</w:t>
            </w:r>
          </w:p>
          <w:shd w:val="clear" w:fill="F7F9F8"/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4,438건(설명변수 22개) · Model B 4,712건(설명변수 169개)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핵심 성과</w:t>
            </w:r>
          </w:p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 대비 설명력 4.05배 / 5.95배 · 예측구간 포함률 78.2% / 76.5% 검증</w:t>
            </w:r>
          </w:p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산출물</w:t>
            </w:r>
          </w:p>
          <w:shd w:val="clear" w:fill="F7F9F8"/>
        </w:tc>
        <w:tc>
          <w:tcPr>
            <w:tcW w:type="dxa" w:w="725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코드 전체(별첨) · FastAPI + Vue 3 웹 애플리케이션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공백</w:t>
            </w:r>
          </w:p>
          <w:shd w:val="clear" w:fill="E8EFEA"/>
        </w:tc>
        <w:tc>
          <w:tcPr>
            <w:tcW w:type="dxa" w:w="30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내용</w:t>
            </w:r>
          </w:p>
          <w:shd w:val="clear" w:fill="E8EFEA"/>
        </w:tc>
        <w:tc>
          <w:tcPr>
            <w:tcW w:type="dxa" w:w="4309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임가가 겪는 일</w:t>
            </w:r>
          </w:p>
          <w:shd w:val="clear" w:fill="E8EFEA"/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개인화 부재</w:t>
            </w:r>
          </w:p>
        </w:tc>
        <w:tc>
          <w:tcPr>
            <w:tcW w:type="dxa" w:w="30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평균만 제공</w:t>
            </w:r>
          </w:p>
        </w:tc>
        <w:tc>
          <w:tcPr>
            <w:tcW w:type="dxa" w:w="4309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“우리 산은 저 평균과 다른데”</w:t>
            </w:r>
          </w:p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불확실성 은폐</w:t>
            </w:r>
          </w:p>
          <w:shd w:val="clear" w:fill="F7F9F8"/>
        </w:tc>
        <w:tc>
          <w:tcPr>
            <w:tcW w:type="dxa" w:w="30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숫자만 제시</w:t>
            </w:r>
          </w:p>
          <w:shd w:val="clear" w:fill="F7F9F8"/>
        </w:tc>
        <w:tc>
          <w:tcPr>
            <w:tcW w:type="dxa" w:w="4309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평균을 확정값으로 오해 → 과잉 투자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 부재</w:t>
            </w:r>
          </w:p>
        </w:tc>
        <w:tc>
          <w:tcPr>
            <w:tcW w:type="dxa" w:w="30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현황 기술에 그침</w:t>
            </w:r>
          </w:p>
        </w:tc>
        <w:tc>
          <w:tcPr>
            <w:tcW w:type="dxa" w:w="4309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“그래서 무엇을 바꾸라는 것인가”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03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임가 ROI 분포 — 평균은 대표값이 아니다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분포가 오른쪽으로 길게 늘어져 있어 평균(155.5%)이 중앙값(약 87%)보다 크게 위쪽에 놓입니다. 임가의 80%는 −38%에서 429% 사이에 흩어져 있습니다. 이 폭을 감춘 채 하나의 평균만 전달하는 것이 현행 통계 환류의 가장 큰 문제입니다.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2098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09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단계</w:t>
            </w:r>
          </w:p>
          <w:shd w:val="clear" w:fill="E8EFEA"/>
        </w:tc>
        <w:tc>
          <w:tcPr>
            <w:tcW w:type="dxa" w:w="4195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무엇을 하는가</w:t>
            </w:r>
          </w:p>
          <w:shd w:val="clear" w:fill="E8EFEA"/>
        </w:tc>
        <w:tc>
          <w:tcPr>
            <w:tcW w:type="dxa" w:w="3742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쓰인 기법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예측</w:t>
            </w:r>
          </w:p>
        </w:tc>
        <w:tc>
          <w:tcPr>
            <w:tcW w:type="dxa" w:w="419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남을지 구간과 함께 제시</w:t>
            </w:r>
          </w:p>
        </w:tc>
        <w:tc>
          <w:tcPr>
            <w:tcW w:type="dxa" w:w="374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+ 분위수 회귀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설명</w:t>
            </w:r>
          </w:p>
          <w:shd w:val="clear" w:fill="F7F9F8"/>
        </w:tc>
        <w:tc>
          <w:tcPr>
            <w:tcW w:type="dxa" w:w="419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왜 그 숫자가 나왔는지 분해</w:t>
            </w:r>
          </w:p>
          <w:shd w:val="clear" w:fill="F7F9F8"/>
        </w:tc>
        <w:tc>
          <w:tcPr>
            <w:tcW w:type="dxa" w:w="374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</w:t>
            </w:r>
          </w:p>
        </w:tc>
        <w:tc>
          <w:tcPr>
            <w:tcW w:type="dxa" w:w="419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되는지 탐색</w:t>
            </w:r>
          </w:p>
        </w:tc>
        <w:tc>
          <w:tcPr>
            <w:tcW w:type="dxa" w:w="374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반사실(counterfactual) 격자 탐색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비교</w:t>
            </w:r>
          </w:p>
          <w:shd w:val="clear" w:fill="F7F9F8"/>
        </w:tc>
        <w:tc>
          <w:tcPr>
            <w:tcW w:type="dxa" w:w="419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비슷한 임가는 어떤지 제시</w:t>
            </w:r>
          </w:p>
          <w:shd w:val="clear" w:fill="F7F9F8"/>
        </w:tc>
        <w:tc>
          <w:tcPr>
            <w:tcW w:type="dxa" w:w="374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최근접 이웃 (로그 척도)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전략</w:t>
            </w:r>
          </w:p>
        </w:tc>
        <w:tc>
          <w:tcPr>
            <w:tcW w:type="dxa" w:w="419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팔지 · 무엇을 섞을지</w:t>
            </w:r>
          </w:p>
        </w:tc>
        <w:tc>
          <w:tcPr>
            <w:tcW w:type="dxa" w:w="374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시세 · 평균–분산 최적화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구분</w:t>
            </w:r>
          </w:p>
          <w:shd w:val="clear" w:fill="E8EFEA"/>
        </w:tc>
        <w:tc>
          <w:tcPr>
            <w:tcW w:type="dxa" w:w="782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기술</w:t>
            </w:r>
          </w:p>
          <w:shd w:val="clear" w:fill="E8EFEA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모델</w:t>
            </w:r>
          </w:p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</w:t>
            </w:r>
          </w:p>
          <w:shd w:val="clear" w:fill="F7F9F8"/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 multivariate sampler — Model A 300 trial / Model B 200 trial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목적함수</w:t>
            </w:r>
          </w:p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5-fold CV OOF RMSE (단일 홀드아웃 과적합 방지)</w:t>
            </w:r>
          </w:p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불확실성</w:t>
            </w:r>
          </w:p>
          <w:shd w:val="clear" w:fill="F7F9F8"/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Quantile Regression (reg:quantileerror)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설명</w:t>
            </w:r>
          </w:p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 (pred_contribs)</w:t>
            </w:r>
          </w:p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</w:t>
            </w:r>
          </w:p>
          <w:shd w:val="clear" w:fill="F7F9F8"/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Dirichlet 무작위 가중 6,000개 + 상관 수축 + 최근접 양정부호 행렬 투영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82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FastAPI (Python) + Vue 3 / Vite / Apache ECharts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356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3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17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통계명</w:t>
            </w:r>
          </w:p>
          <w:shd w:val="clear" w:fill="E8EFEA"/>
        </w:tc>
        <w:tc>
          <w:tcPr>
            <w:tcW w:type="dxa" w:w="113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제공기관</w:t>
            </w:r>
          </w:p>
          <w:shd w:val="clear" w:fill="E8EFEA"/>
        </w:tc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기간</w:t>
            </w:r>
          </w:p>
          <w:shd w:val="clear" w:fill="E8EFEA"/>
        </w:tc>
        <w:tc>
          <w:tcPr>
            <w:tcW w:type="dxa" w:w="238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규모</w:t>
            </w:r>
          </w:p>
          <w:shd w:val="clear" w:fill="E8EFEA"/>
        </w:tc>
        <w:tc>
          <w:tcPr>
            <w:tcW w:type="dxa" w:w="238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용도</w:t>
            </w:r>
          </w:p>
          <w:shd w:val="clear" w:fill="E8EFEA"/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</w:t>
            </w:r>
          </w:p>
        </w:tc>
        <w:tc>
          <w:tcPr>
            <w:tcW w:type="dxa" w:w="113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2019~2023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4,438 임가-연도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학습</w:t>
            </w:r>
          </w:p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</w:t>
            </w:r>
          </w:p>
          <w:shd w:val="clear" w:fill="F7F9F8"/>
        </w:tc>
        <w:tc>
          <w:tcPr>
            <w:tcW w:type="dxa" w:w="113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2018~2024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4,712 관측 (5품목)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 학습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</w:t>
            </w:r>
          </w:p>
        </w:tc>
        <w:tc>
          <w:tcPr>
            <w:tcW w:type="dxa" w:w="113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2022~2024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196,579 관측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단가·LQ·가공 분석</w:t>
            </w:r>
          </w:p>
        </w:tc>
      </w:tr>
      <w:tr>
        <w:tc>
          <w:tcPr>
            <w:tcW w:type="dxa" w:w="204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</w:t>
            </w:r>
          </w:p>
          <w:shd w:val="clear" w:fill="F7F9F8"/>
        </w:tc>
        <w:tc>
          <w:tcPr>
            <w:tcW w:type="dxa" w:w="113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2018·2020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 단위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 실태 교차 검증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데이터명</w:t>
            </w:r>
          </w:p>
          <w:shd w:val="clear" w:fill="E8EFEA"/>
        </w:tc>
        <w:tc>
          <w:tcPr>
            <w:tcW w:type="dxa" w:w="238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제공기관</w:t>
            </w:r>
          </w:p>
          <w:shd w:val="clear" w:fill="E8EFEA"/>
        </w:tc>
        <w:tc>
          <w:tcPr>
            <w:tcW w:type="dxa" w:w="3515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용도</w:t>
            </w:r>
          </w:p>
          <w:shd w:val="clear" w:fill="E8EFEA"/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농수산물 도매시장 가격 정보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품목별 월별 도매가 → 출하 시기 추천</w:t>
            </w:r>
          </w:p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 API 허브 종관기상관측(ASOS)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  <w:shd w:val="clear" w:fill="F7F9F8"/>
        </w:tc>
        <w:tc>
          <w:tcPr>
            <w:tcW w:type="dxa" w:w="351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230개 · 기상 지표 15종 결합</w:t>
            </w:r>
          </w:p>
          <w:shd w:val="clear" w:fill="F7F9F8"/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42개 사업 자부담률 → 실효 ROI 산출</w:t>
            </w:r>
          </w:p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행정구역 경계 (시군구)</w:t>
            </w:r>
          </w:p>
          <w:shd w:val="clear" w:fill="F7F9F8"/>
        </w:tc>
        <w:tc>
          <w:tcPr>
            <w:tcW w:type="dxa" w:w="238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국토교통부</w:t>
            </w:r>
          </w:p>
          <w:shd w:val="clear" w:fill="F7F9F8"/>
        </w:tc>
        <w:tc>
          <w:tcPr>
            <w:tcW w:type="dxa" w:w="351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단위 단가 지도 시각화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LEAKY_PATTERNS = [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r"^소득$", r"^순수익$", r"^부가가치", r"평가액", r"생산액",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r"수확량", r"생산량", r"수량",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r"^생산비합계", r"^직접생산비$", r"^간접생산비$", r"^내급비$",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r"^타용도소비량$", r"^판매량", r"판매금액", r"^총수입",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]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# 투입 수량(비료 시비량 등)은 사전 결정 변수이므로 예외로 남긴다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KEEP_DESPITE_PATTERN = re.compile(r"^(무기질|유기질)_.*_수량_단위당$")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44000" cy="21349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000" cy="2134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단계</w:t>
            </w:r>
          </w:p>
          <w:shd w:val="clear" w:fill="E8EFEA"/>
        </w:tc>
        <w:tc>
          <w:tcPr>
            <w:tcW w:type="dxa" w:w="7370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내용</w:t>
            </w:r>
          </w:p>
          <w:shd w:val="clear" w:fill="E8EFEA"/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분할</w:t>
            </w:r>
          </w:p>
        </w:tc>
        <w:tc>
          <w:tcPr>
            <w:tcW w:type="dxa" w:w="7370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베이스라인 3종</w:t>
            </w:r>
          </w:p>
          <w:shd w:val="clear" w:fill="F7F9F8"/>
        </w:tc>
        <w:tc>
          <w:tcPr>
            <w:tcW w:type="dxa" w:w="7370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동일 분할·동일 지표로 비교 — 집단 평균(지역×업종 71개 집단), 선형회귀, Optuna XGBoost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하이퍼파라미터 탐색</w:t>
            </w:r>
          </w:p>
        </w:tc>
        <w:tc>
          <w:tcPr>
            <w:tcW w:type="dxa" w:w="7370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GPU 병렬</w:t>
            </w:r>
          </w:p>
          <w:shd w:val="clear" w:fill="F7F9F8"/>
        </w:tc>
        <w:tc>
          <w:tcPr>
            <w:tcW w:type="dxa" w:w="7370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NVIDIA A6000 2장에 trial을 라운드로빈 배정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테스트셋 평가</w:t>
            </w:r>
          </w:p>
        </w:tc>
        <w:tc>
          <w:tcPr>
            <w:tcW w:type="dxa" w:w="7370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최종 파라미터 확정 후 단 한 번만 열었음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탐색으로 고른 주요 하이퍼파라미터는 다음과 같습니다. 두 모델의 값이 크게 다른 것은 자료의 성격 차이를 그대로 반영합니다. 설명변수가 22개뿐인 Model A는 깊게(max_depth 10) 파고들어야 신호를 잡을 수 있고, 169개인 Model B는 얕게 두되 규제를 강하게(reg_lambda 12.1) 걸어야 과적합을 피할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26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하이퍼파라미터</w:t>
            </w:r>
          </w:p>
          <w:shd w:val="clear" w:fill="E8EFEA"/>
        </w:tc>
        <w:tc>
          <w:tcPr>
            <w:tcW w:type="dxa" w:w="170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A</w:t>
            </w:r>
          </w:p>
          <w:shd w:val="clear" w:fill="E8EFEA"/>
        </w:tc>
        <w:tc>
          <w:tcPr>
            <w:tcW w:type="dxa" w:w="170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B</w:t>
            </w:r>
          </w:p>
          <w:shd w:val="clear" w:fill="E8EFEA"/>
        </w:tc>
        <w:tc>
          <w:tcPr>
            <w:tcW w:type="dxa" w:w="362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의미</w:t>
            </w:r>
          </w:p>
          <w:shd w:val="clear" w:fill="E8EFEA"/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learning_rate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0.1213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0.0490</w:t>
            </w:r>
          </w:p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걸음의 보폭</w:t>
            </w:r>
          </w:p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max_depth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</w:t>
            </w:r>
          </w:p>
          <w:shd w:val="clear" w:fill="F7F9F8"/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나무의 깊이</w:t>
            </w:r>
          </w:p>
          <w:shd w:val="clear" w:fill="F7F9F8"/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subsample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0.890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0.884</w:t>
            </w:r>
          </w:p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 표본 비율</w:t>
            </w:r>
          </w:p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colsample_bytree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0.899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0.928</w:t>
            </w:r>
          </w:p>
          <w:shd w:val="clear" w:fill="F7F9F8"/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열 표본 비율</w:t>
            </w:r>
          </w:p>
          <w:shd w:val="clear" w:fill="F7F9F8"/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reg_lambda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0.214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12.083</w:t>
            </w:r>
          </w:p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L2 규제 강도</w:t>
            </w:r>
          </w:p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gamma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0.540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0.804</w:t>
            </w:r>
          </w:p>
          <w:shd w:val="clear" w:fill="F7F9F8"/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분기 최소 이득</w:t>
            </w:r>
          </w:p>
          <w:shd w:val="clear" w:fill="F7F9F8"/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n_estimators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445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1,626</w:t>
            </w:r>
          </w:p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 개수 (조기 종료)</w:t>
            </w:r>
          </w:p>
        </w:tc>
      </w:tr>
      <w:tr>
        <w:tc>
          <w:tcPr>
            <w:tcW w:type="dxa" w:w="226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 시행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300 trial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200 trial</w:t>
            </w:r>
          </w:p>
          <w:shd w:val="clear" w:fill="F7F9F8"/>
        </w:tc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모델</w:t>
            </w:r>
          </w:p>
          <w:shd w:val="clear" w:fill="E8EFEA"/>
        </w:tc>
        <w:tc>
          <w:tcPr>
            <w:tcW w:type="dxa" w:w="164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A R²</w:t>
            </w:r>
          </w:p>
          <w:shd w:val="clear" w:fill="E8EFEA"/>
        </w:tc>
        <w:tc>
          <w:tcPr>
            <w:tcW w:type="dxa" w:w="170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A RMSE</w:t>
            </w:r>
          </w:p>
          <w:shd w:val="clear" w:fill="E8EFEA"/>
        </w:tc>
        <w:tc>
          <w:tcPr>
            <w:tcW w:type="dxa" w:w="164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B R²</w:t>
            </w:r>
          </w:p>
          <w:shd w:val="clear" w:fill="E8EFEA"/>
        </w:tc>
        <w:tc>
          <w:tcPr>
            <w:tcW w:type="dxa" w:w="170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Model B RMSE</w:t>
            </w:r>
          </w:p>
          <w:shd w:val="clear" w:fill="E8EFEA"/>
        </w:tc>
      </w:tr>
      <w:tr>
        <w:tc>
          <w:tcPr>
            <w:tcW w:type="dxa" w:w="260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 (집단 평균)</w:t>
            </w:r>
          </w:p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0.0428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192.03</w:t>
            </w:r>
          </w:p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0.1049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156.39</w:t>
            </w:r>
          </w:p>
        </w:tc>
      </w:tr>
      <w:tr>
        <w:tc>
          <w:tcPr>
            <w:tcW w:type="dxa" w:w="260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선형회귀</w:t>
            </w:r>
          </w:p>
          <w:shd w:val="clear" w:fill="F7F9F8"/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0.1295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183.13</w:t>
            </w:r>
          </w:p>
          <w:shd w:val="clear" w:fill="F7F9F8"/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0.4894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118.12</w:t>
            </w:r>
          </w:p>
          <w:shd w:val="clear" w:fill="F7F9F8"/>
        </w:tc>
      </w:tr>
      <w:tr>
        <w:tc>
          <w:tcPr>
            <w:tcW w:type="dxa" w:w="260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Optuna XGBoost</w:t>
            </w:r>
          </w:p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0.1736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178.44</w:t>
            </w:r>
          </w:p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0.6243</w:t>
            </w:r>
          </w:p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101.33</w:t>
            </w:r>
          </w:p>
        </w:tc>
      </w:tr>
      <w:tr>
        <w:tc>
          <w:tcPr>
            <w:tcW w:type="dxa" w:w="260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개선 배수</w:t>
            </w:r>
          </w:p>
          <w:shd w:val="clear" w:fill="F7F9F8"/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×4.05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−7.1%</w:t>
            </w:r>
          </w:p>
          <w:shd w:val="clear" w:fill="F7F9F8"/>
        </w:tc>
        <w:tc>
          <w:tcPr>
            <w:tcW w:type="dxa" w:w="164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×5.95</w:t>
            </w:r>
          </w:p>
          <w:shd w:val="clear" w:fill="F7F9F8"/>
        </w:tc>
        <w:tc>
          <w:tcPr>
            <w:tcW w:type="dxa" w:w="170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−35.2%</w:t>
            </w:r>
          </w:p>
          <w:shd w:val="clear" w:fill="F7F9F8"/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44000" cy="209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4000" cy="209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동일 분할·동일 지표에서의 3종 모델 비교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Model B를 품목별로 나누어 보면 성능이 표본 수를 그대로 따라갑니다. </w:t>
      </w:r>
      <w:r>
        <w:rPr>
          <w:rFonts w:ascii="맑은 고딕" w:hAnsi="맑은 고딕" w:eastAsia="맑은 고딕"/>
          <w:b/>
          <w:color w:val="1A1E21"/>
          <w:sz w:val="21"/>
        </w:rPr>
        <w:t>표고 노지는 R²가 음수(−0.052)입니다.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테스트 표본이 32건뿐이라 모델이 평균보다도 못 맞힌다는 뜻입니다. 감추지 않고 그대로 싣고, 서비스 화면에서도 해당 품목에는 “표본이 적어 참고만 하십시오”라고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품목</w:t>
            </w:r>
          </w:p>
          <w:shd w:val="clear" w:fill="E8EFEA"/>
        </w:tc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Test R²</w:t>
            </w:r>
          </w:p>
          <w:shd w:val="clear" w:fill="E8EFEA"/>
        </w:tc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RMSE</w:t>
            </w:r>
          </w:p>
          <w:shd w:val="clear" w:fill="E8EFEA"/>
        </w:tc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MAE</w:t>
            </w:r>
          </w:p>
          <w:shd w:val="clear" w:fill="E8EFEA"/>
        </w:tc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테스트 표본</w:t>
            </w:r>
          </w:p>
          <w:shd w:val="clear" w:fill="E8EFEA"/>
        </w:tc>
        <w:tc>
          <w:tcPr>
            <w:tcW w:type="dxa" w:w="158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판정</w:t>
            </w:r>
          </w:p>
          <w:shd w:val="clear" w:fill="E8EFEA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0.5907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127.2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95.9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167건</w:t>
            </w:r>
          </w:p>
        </w:tc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0.5892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100.3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77.6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133건</w:t>
            </w:r>
          </w:p>
          <w:shd w:val="clear" w:fill="F7F9F8"/>
        </w:tc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0.5839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69.9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123건</w:t>
            </w:r>
          </w:p>
        </w:tc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0.1710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66.3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17건</w:t>
            </w:r>
          </w:p>
          <w:shd w:val="clear" w:fill="F7F9F8"/>
        </w:tc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제한적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-0.0522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63.6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51.1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32건</w:t>
            </w:r>
          </w:p>
        </w:tc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표본 부족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44000" cy="18814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er_ite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4000" cy="188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품목별 성능은 표본 수를 따라간다 — 잘 안 되는 품목도 감추지 않았다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모델</w:t>
            </w:r>
          </w:p>
          <w:shd w:val="clear" w:fill="E8EFEA"/>
        </w:tc>
        <w:tc>
          <w:tcPr>
            <w:tcW w:type="dxa" w:w="249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구간 포함률 (명목 80%)</w:t>
            </w:r>
          </w:p>
          <w:shd w:val="clear" w:fill="E8EFEA"/>
        </w:tc>
        <w:tc>
          <w:tcPr>
            <w:tcW w:type="dxa" w:w="158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P10 미만</w:t>
            </w:r>
          </w:p>
          <w:shd w:val="clear" w:fill="E8EFEA"/>
        </w:tc>
        <w:tc>
          <w:tcPr>
            <w:tcW w:type="dxa" w:w="158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P90 초과</w:t>
            </w:r>
          </w:p>
          <w:shd w:val="clear" w:fill="E8EFEA"/>
        </w:tc>
        <w:tc>
          <w:tcPr>
            <w:tcW w:type="dxa" w:w="204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구간 폭 중앙값</w:t>
            </w:r>
          </w:p>
          <w:shd w:val="clear" w:fill="E8EFEA"/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</w:t>
            </w:r>
          </w:p>
        </w:tc>
        <w:tc>
          <w:tcPr>
            <w:tcW w:type="dxa" w:w="249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78.2%</w:t>
            </w:r>
          </w:p>
        </w:tc>
        <w:tc>
          <w:tcPr>
            <w:tcW w:type="dxa" w:w="1587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1587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11.0%</w:t>
            </w:r>
          </w:p>
        </w:tc>
        <w:tc>
          <w:tcPr>
            <w:tcW w:type="dxa" w:w="204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439.4%p</w:t>
            </w:r>
          </w:p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</w:t>
            </w:r>
          </w:p>
          <w:shd w:val="clear" w:fill="F7F9F8"/>
        </w:tc>
        <w:tc>
          <w:tcPr>
            <w:tcW w:type="dxa" w:w="249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76.5%</w:t>
            </w:r>
          </w:p>
          <w:shd w:val="clear" w:fill="F7F9F8"/>
        </w:tc>
        <w:tc>
          <w:tcPr>
            <w:tcW w:type="dxa" w:w="1587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12.7%</w:t>
            </w:r>
          </w:p>
          <w:shd w:val="clear" w:fill="F7F9F8"/>
        </w:tc>
        <w:tc>
          <w:tcPr>
            <w:tcW w:type="dxa" w:w="1587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  <w:shd w:val="clear" w:fill="F7F9F8"/>
        </w:tc>
        <w:tc>
          <w:tcPr>
            <w:tcW w:type="dxa" w:w="204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209.9%p</w:t>
            </w:r>
          </w:p>
          <w:shd w:val="clear" w:fill="F7F9F8"/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19254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ver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19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분위수 회귀 예측구간의 실제 포함률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사례 연구 — 한 임가에게 실제로 무엇을 말해 주는가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지표만 늘어놓으면 이 분석이 현장에서 어떻게 쓰이는지 보이지 않습니다. 실제 입력에 대한 시스템의 출력을 그대로 옮깁니다.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입력 항목</w:t>
            </w:r>
          </w:p>
          <w:shd w:val="clear" w:fill="E8EFEA"/>
        </w:tc>
        <w:tc>
          <w:tcPr>
            <w:tcW w:type="dxa" w:w="6123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값</w:t>
            </w:r>
          </w:p>
          <w:shd w:val="clear" w:fill="E8EFEA"/>
        </w:tc>
      </w:tr>
      <w:tr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/ 업종</w:t>
            </w:r>
          </w:p>
        </w:tc>
        <w:tc>
          <w:tcPr>
            <w:tcW w:type="dxa" w:w="6123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 / 밤재배업</w:t>
            </w:r>
          </w:p>
        </w:tc>
      </w:tr>
      <w:tr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임지 규모 / 전겸업</w:t>
            </w:r>
          </w:p>
          <w:shd w:val="clear" w:fill="F7F9F8"/>
        </w:tc>
        <w:tc>
          <w:tcPr>
            <w:tcW w:type="dxa" w:w="6123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5~10ha 미만 / 임업주업</w:t>
            </w:r>
          </w:p>
          <w:shd w:val="clear" w:fill="F7F9F8"/>
        </w:tc>
      </w:tr>
      <w:tr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경영주 연령 / 가구원</w:t>
            </w:r>
          </w:p>
        </w:tc>
        <w:tc>
          <w:tcPr>
            <w:tcW w:type="dxa" w:w="6123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60대 / 3명</w:t>
            </w:r>
          </w:p>
        </w:tc>
      </w:tr>
      <w:tr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연간 임업경영비</w:t>
            </w:r>
          </w:p>
          <w:shd w:val="clear" w:fill="F7F9F8"/>
        </w:tc>
        <w:tc>
          <w:tcPr>
            <w:tcW w:type="dxa" w:w="6123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1,500만원</w:t>
            </w:r>
          </w:p>
          <w:shd w:val="clear" w:fill="F7F9F8"/>
        </w:tc>
      </w:tr>
      <w:tr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기초 자본(순재산) / 연초 보유</w:t>
            </w:r>
          </w:p>
        </w:tc>
        <w:tc>
          <w:tcPr>
            <w:tcW w:type="dxa" w:w="6123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3억원 / 500만원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① 예측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ROI </w:t>
      </w:r>
      <w:r>
        <w:rPr>
          <w:rFonts w:ascii="맑은 고딕" w:hAnsi="맑은 고딕" w:eastAsia="맑은 고딕"/>
          <w:b/>
          <w:color w:val="1A1E21"/>
          <w:sz w:val="21"/>
        </w:rPr>
        <w:t>111.0%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(P10 −48.9% ~ P90 286.9%). 집단 평균 방식은 같은 조건에 233.2%를 제시하지만, 이 임가의 경영비·자본 구조를 반영하면 그보다 낮게 나옵니다. 구간이 넓다는 사실 자체가 “확정된 수익이 아니다”라는 정보입니다.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② 설명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전체 평균 152.7%에서 이 임가의 111.0%까지, 무엇이 얼마나 끌어내렸는지 가법 분해합니다. 경영비 −63.5%p, 임지 규모 −41.5%p가 주된 하락 요인이고, 작목(+31.1%p)과 전업 여부(+22.1%p)가 이를 일부 상쇄합니다.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③ 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조건 임가의 중앙값(152.3%)을 목표로 반사실 탐색을 수행한 결과, </w:t>
      </w:r>
      <w:r>
        <w:rPr>
          <w:rFonts w:ascii="맑은 고딕" w:hAnsi="맑은 고딕" w:eastAsia="맑은 고딕"/>
          <w:b/>
          <w:color w:val="1A1E21"/>
          <w:sz w:val="21"/>
        </w:rPr>
        <w:t>한 해 경영비를 1,500만원에서 750만원으로 조정하면 예측 ROI는 195.9%</w:t>
      </w:r>
      <w:r>
        <w:rPr>
          <w:rFonts w:ascii="맑은 고딕" w:hAnsi="맑은 고딕" w:eastAsia="맑은 고딕"/>
          <w:b w:val="0"/>
          <w:color w:val="1A1E21"/>
          <w:sz w:val="21"/>
        </w:rPr>
        <w:t>로 오릅니다. 다만 이는 비율의 개선이며 소득 총액과는 다른 문제라는 점을 화면에 함께 표시합니다.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031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031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사례 — 예측 근거의 분해(좌)와 반사실 처방(우)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④ 비교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조건이 가장 비슷한 임가 40곳의 ROI 중앙값은 146.2%이며, 그중 잘 버는 쪽은 247.6%입니다. 두 집단을 가르는 가장 큰 차이는 </w:t>
      </w:r>
      <w:r>
        <w:rPr>
          <w:rFonts w:ascii="맑은 고딕" w:hAnsi="맑은 고딕" w:eastAsia="맑은 고딕"/>
          <w:b/>
          <w:color w:val="1A1E21"/>
          <w:sz w:val="21"/>
        </w:rPr>
        <w:t>면적당 일손(+300%)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과 </w:t>
      </w:r>
      <w:r>
        <w:rPr>
          <w:rFonts w:ascii="맑은 고딕" w:hAnsi="맑은 고딕" w:eastAsia="맑은 고딕"/>
          <w:b/>
          <w:color w:val="1A1E21"/>
          <w:sz w:val="21"/>
        </w:rPr>
        <w:t>면적당 쓰는 돈(+270.9%)</w:t>
      </w:r>
      <w:r>
        <w:rPr>
          <w:rFonts w:ascii="맑은 고딕" w:hAnsi="맑은 고딕" w:eastAsia="맑은 고딕"/>
          <w:b w:val="0"/>
          <w:color w:val="1A1E21"/>
          <w:sz w:val="21"/>
        </w:rPr>
        <w:t>이었습니다. 같은 금액을 쓰더라도 더 좁은 면적에 집중해 투입하는 쪽이 수익률이 높다는 뜻으로, 앞의 처방과 방향이 일치합니다.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이 네 단계가 본 시스템의 핵심입니다. </w:t>
      </w:r>
      <w:r>
        <w:rPr>
          <w:rFonts w:ascii="맑은 고딕" w:hAnsi="맑은 고딕" w:eastAsia="맑은 고딕"/>
          <w:b/>
          <w:color w:val="1A1E21"/>
          <w:sz w:val="20"/>
        </w:rPr>
        <w:t>예측만 주면 임가는 믿을 이유가 없고, 설명만 주면 무엇을 할지 모릅니다.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예측·설명·처방·비교를 함께 제시해야 비로소 의사결정에 쓸 수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품질 관리의 수익 기여를 금액으로 환산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44000" cy="21065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4000" cy="2106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9]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지역 — 어디서 무엇이 잘 되고, 어디가 값을 더 받는가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임산물생산조사 196,579개 관측을 시군구 단위로 집계해 두 가지를 봤습니다. 하나는 </w:t>
      </w:r>
      <w:r>
        <w:rPr>
          <w:rFonts w:ascii="맑은 고딕" w:hAnsi="맑은 고딕" w:eastAsia="맑은 고딕"/>
          <w:b/>
          <w:color w:val="1A1E21"/>
          <w:sz w:val="21"/>
        </w:rPr>
        <w:t>어느 지역에서 어떤 품목이 실제로 수익을 내는가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이고, 다른 하나는 </w:t>
      </w:r>
      <w:r>
        <w:rPr>
          <w:rFonts w:ascii="맑은 고딕" w:hAnsi="맑은 고딕" w:eastAsia="맑은 고딕"/>
          <w:b/>
          <w:color w:val="1A1E21"/>
          <w:sz w:val="21"/>
        </w:rPr>
        <w:t>같은 품목이라도 지역에 따라 단가가 얼마나 다른가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8000" cy="24720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472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10] 지역×품목 수익성 — 조사 임가 15곳 이상인 조합만 표시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빈 칸이 많다는 사실 자체가 정보입니다. 대부분의 지역·품목 조합은 표본이 15곳에 미치지 못해 판단할 수 없습니다. 그런 칸에 억지로 숫자를 채우지 않았습니다.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81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시도</w:t>
            </w:r>
          </w:p>
          <w:shd w:val="clear" w:fill="E8EFEA"/>
        </w:tc>
        <w:tc>
          <w:tcPr>
            <w:tcW w:type="dxa" w:w="192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LQ (특화도)</w:t>
            </w:r>
          </w:p>
          <w:shd w:val="clear" w:fill="E8EFEA"/>
        </w:tc>
        <w:tc>
          <w:tcPr>
            <w:tcW w:type="dxa" w:w="226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생산금액</w:t>
            </w:r>
          </w:p>
          <w:shd w:val="clear" w:fill="E8EFEA"/>
        </w:tc>
        <w:tc>
          <w:tcPr>
            <w:tcW w:type="dxa" w:w="181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전국 비중</w:t>
            </w:r>
          </w:p>
          <w:shd w:val="clear" w:fill="E8EFEA"/>
        </w:tc>
      </w:tr>
      <w:tr>
        <w:tc>
          <w:tcPr>
            <w:tcW w:type="dxa" w:w="181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</w:t>
            </w:r>
          </w:p>
        </w:tc>
        <w:tc>
          <w:tcPr>
            <w:tcW w:type="dxa" w:w="192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6.73</w:t>
            </w:r>
          </w:p>
        </w:tc>
        <w:tc>
          <w:tcPr>
            <w:tcW w:type="dxa" w:w="226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590억원</w:t>
            </w:r>
          </w:p>
        </w:tc>
        <w:tc>
          <w:tcPr>
            <w:tcW w:type="dxa" w:w="181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59.1%</w:t>
            </w:r>
          </w:p>
        </w:tc>
      </w:tr>
      <w:tr>
        <w:tc>
          <w:tcPr>
            <w:tcW w:type="dxa" w:w="181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세종</w:t>
            </w:r>
          </w:p>
          <w:shd w:val="clear" w:fill="F7F9F8"/>
        </w:tc>
        <w:tc>
          <w:tcPr>
            <w:tcW w:type="dxa" w:w="192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3.23</w:t>
            </w:r>
          </w:p>
          <w:shd w:val="clear" w:fill="F7F9F8"/>
        </w:tc>
        <w:tc>
          <w:tcPr>
            <w:tcW w:type="dxa" w:w="226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20억원</w:t>
            </w:r>
          </w:p>
          <w:shd w:val="clear" w:fill="F7F9F8"/>
        </w:tc>
        <w:tc>
          <w:tcPr>
            <w:tcW w:type="dxa" w:w="181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2.0%</w:t>
            </w:r>
          </w:p>
          <w:shd w:val="clear" w:fill="F7F9F8"/>
        </w:tc>
      </w:tr>
      <w:tr>
        <w:tc>
          <w:tcPr>
            <w:tcW w:type="dxa" w:w="181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충북</w:t>
            </w:r>
          </w:p>
        </w:tc>
        <w:tc>
          <w:tcPr>
            <w:tcW w:type="dxa" w:w="192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1.32</w:t>
            </w:r>
          </w:p>
        </w:tc>
        <w:tc>
          <w:tcPr>
            <w:tcW w:type="dxa" w:w="226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92억원</w:t>
            </w:r>
          </w:p>
        </w:tc>
        <w:tc>
          <w:tcPr>
            <w:tcW w:type="dxa" w:w="181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9.2%</w:t>
            </w:r>
          </w:p>
        </w:tc>
      </w:tr>
      <w:tr>
        <w:tc>
          <w:tcPr>
            <w:tcW w:type="dxa" w:w="181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경남</w:t>
            </w:r>
          </w:p>
          <w:shd w:val="clear" w:fill="F7F9F8"/>
        </w:tc>
        <w:tc>
          <w:tcPr>
            <w:tcW w:type="dxa" w:w="192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1.17</w:t>
            </w:r>
          </w:p>
          <w:shd w:val="clear" w:fill="F7F9F8"/>
        </w:tc>
        <w:tc>
          <w:tcPr>
            <w:tcW w:type="dxa" w:w="226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152억원</w:t>
            </w:r>
          </w:p>
          <w:shd w:val="clear" w:fill="F7F9F8"/>
        </w:tc>
        <w:tc>
          <w:tcPr>
            <w:tcW w:type="dxa" w:w="181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15.3%</w:t>
            </w:r>
          </w:p>
          <w:shd w:val="clear" w:fill="F7F9F8"/>
        </w:tc>
      </w:tr>
      <w:tr>
        <w:tc>
          <w:tcPr>
            <w:tcW w:type="dxa" w:w="181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전남</w:t>
            </w:r>
          </w:p>
        </w:tc>
        <w:tc>
          <w:tcPr>
            <w:tcW w:type="dxa" w:w="192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87억원</w:t>
            </w:r>
          </w:p>
        </w:tc>
        <w:tc>
          <w:tcPr>
            <w:tcW w:type="dxa" w:w="181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8.7%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밤의 충남 LQ는 6.73로, 전국 생산금액의 59.1%가 한 시도에 몰려 있습니다. LQ(입지계수)는 그 지역 산업 구성에서 해당 품목이 전국 평균보다 얼마나 큰 비중을 차지하는지 재는 지표로, 1을 넘으면 특화되었다고 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283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remiu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8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11] 같은 밤이라도 지역에 따라 kg당 값이 다르다 (2024년)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주산지가 반드시 단가가 높은 것은 아닙니다. 물량이 몰리는 곳은 오히려 단가가 눌리는 경향이 있어, </w:t>
      </w:r>
      <w:r>
        <w:rPr>
          <w:rFonts w:ascii="맑은 고딕" w:hAnsi="맑은 고딕" w:eastAsia="맑은 고딕"/>
          <w:b/>
          <w:color w:val="1A1E21"/>
          <w:sz w:val="21"/>
        </w:rPr>
        <w:t>생산 특화도와 단가 프리미엄을 함께 봐야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출하처 판단이 가능합니다.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작목 조합 위험 분산, 그리고 예상 밖의 발견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작목</w:t>
            </w:r>
          </w:p>
          <w:shd w:val="clear" w:fill="E8EFEA"/>
        </w:tc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기대수익</w:t>
            </w:r>
          </w:p>
          <w:shd w:val="clear" w:fill="E8EFEA"/>
        </w:tc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연도 변동 σ</w:t>
            </w:r>
          </w:p>
          <w:shd w:val="clear" w:fill="E8EFEA"/>
        </w:tc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임가 격차 σ</w:t>
            </w:r>
          </w:p>
          <w:shd w:val="clear" w:fill="E8EFEA"/>
        </w:tc>
        <w:tc>
          <w:tcPr>
            <w:tcW w:type="dxa" w:w="1020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효율</w:t>
            </w:r>
          </w:p>
          <w:shd w:val="clear" w:fill="E8EFEA"/>
        </w:tc>
        <w:tc>
          <w:tcPr>
            <w:tcW w:type="dxa" w:w="113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표본</w:t>
            </w:r>
          </w:p>
          <w:shd w:val="clear" w:fill="E8EFEA"/>
        </w:tc>
        <w:tc>
          <w:tcPr>
            <w:tcW w:type="dxa" w:w="1474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조사연도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127.8%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±19.1%p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±164.4%p</w:t>
            </w:r>
          </w:p>
        </w:tc>
        <w:tc>
          <w:tcPr>
            <w:tcW w:type="dxa" w:w="1020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6.69</w:t>
            </w:r>
          </w:p>
        </w:tc>
        <w:tc>
          <w:tcPr>
            <w:tcW w:type="dxa" w:w="113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1,284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55.7%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±10.7%p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±121.3%p</w:t>
            </w:r>
          </w:p>
          <w:shd w:val="clear" w:fill="F7F9F8"/>
        </w:tc>
        <w:tc>
          <w:tcPr>
            <w:tcW w:type="dxa" w:w="1020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5.18</w:t>
            </w:r>
          </w:p>
          <w:shd w:val="clear" w:fill="F7F9F8"/>
        </w:tc>
        <w:tc>
          <w:tcPr>
            <w:tcW w:type="dxa" w:w="113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1,140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145.7%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±39.5%p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±183.8%p</w:t>
            </w:r>
          </w:p>
        </w:tc>
        <w:tc>
          <w:tcPr>
            <w:tcW w:type="dxa" w:w="1020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3.69</w:t>
            </w:r>
          </w:p>
        </w:tc>
        <w:tc>
          <w:tcPr>
            <w:tcW w:type="dxa" w:w="113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1,743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  <w:shd w:val="clear" w:fill="F7F9F8"/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15.8%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±13.1%p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±95.0%p</w:t>
            </w:r>
          </w:p>
          <w:shd w:val="clear" w:fill="F7F9F8"/>
        </w:tc>
        <w:tc>
          <w:tcPr>
            <w:tcW w:type="dxa" w:w="1020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1.20</w:t>
            </w:r>
          </w:p>
          <w:shd w:val="clear" w:fill="F7F9F8"/>
        </w:tc>
        <w:tc>
          <w:tcPr>
            <w:tcW w:type="dxa" w:w="113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333</w:t>
            </w:r>
          </w:p>
          <w:shd w:val="clear" w:fill="F7F9F8"/>
        </w:tc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10.0%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±20.1%p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±73.6%p</w:t>
            </w:r>
          </w:p>
        </w:tc>
        <w:tc>
          <w:tcPr>
            <w:tcW w:type="dxa" w:w="1020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0.50</w:t>
            </w:r>
          </w:p>
        </w:tc>
        <w:tc>
          <w:tcPr>
            <w:tcW w:type="dxa" w:w="1134"/>
          </w:tcPr>
          <w:p>
            <w:pPr>
              <w:spacing w:after="16" w:before="16" w:line="269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212</w:t>
            </w:r>
          </w:p>
        </w:tc>
        <w:tc>
          <w:tcPr>
            <w:tcW w:type="dxa" w:w="1474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23884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238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12] 작목 조합의 위험–수익 지도 (평균–분산 접근)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2588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25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13]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결과 ⑦ 그 밖의 분석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아. 결과 ⑧ 서비스 구현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통계 용어</w:t>
            </w:r>
          </w:p>
          <w:shd w:val="clear" w:fill="E8EFEA"/>
        </w:tc>
        <w:tc>
          <w:tcPr>
            <w:tcW w:type="dxa" w:w="3402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화면 표기</w:t>
            </w:r>
          </w:p>
          <w:shd w:val="clear" w:fill="E8EFEA"/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ROI 예측</w:t>
            </w:r>
          </w:p>
        </w:tc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남을까</w:t>
            </w:r>
          </w:p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출하 시기 최적화</w:t>
            </w:r>
          </w:p>
          <w:shd w:val="clear" w:fill="F7F9F8"/>
        </w:tc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팔까</w:t>
            </w:r>
          </w:p>
          <w:shd w:val="clear" w:fill="F7F9F8"/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 처방</w:t>
            </w:r>
          </w:p>
        </w:tc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좋을까</w:t>
            </w:r>
          </w:p>
        </w:tc>
      </w:tr>
      <w:tr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포트폴리오 최적화</w:t>
            </w:r>
          </w:p>
          <w:shd w:val="clear" w:fill="F7F9F8"/>
        </w:tc>
        <w:tc>
          <w:tcPr>
            <w:tcW w:type="dxa" w:w="34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작목에 몰아도 될까</w:t>
            </w:r>
          </w:p>
          <w:shd w:val="clear" w:fill="F7F9F8"/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데이터 분석 활용 전</w:t>
            </w:r>
          </w:p>
          <w:shd w:val="clear" w:fill="E8EFEA"/>
        </w:tc>
        <w:tc>
          <w:tcPr>
            <w:tcW w:type="dxa" w:w="56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⇨</w:t>
            </w:r>
          </w:p>
          <w:shd w:val="clear" w:fill="E8EFEA"/>
        </w:tc>
        <w:tc>
          <w:tcPr>
            <w:tcW w:type="dxa" w:w="5102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데이터 분석 활용 후</w:t>
            </w:r>
          </w:p>
          <w:shd w:val="clear" w:fill="E8EFEA"/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지역·품목 집단 평균 제공 (R² 0.0428)</w:t>
            </w:r>
          </w:p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)</w:t>
            </w:r>
          </w:p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 제시, 불확실성 은폐</w:t>
            </w:r>
          </w:p>
          <w:shd w:val="clear" w:fill="F7F9F8"/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포함률 78.2% / 76.5% 검증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“평균이 이렇다”는 현황 기술</w:t>
            </w:r>
          </w:p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반사실 처방</w:t>
            </w:r>
          </w:p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예측 근거 불투명</w:t>
            </w:r>
          </w:p>
          <w:shd w:val="clear" w:fill="F7F9F8"/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TreeSHAP 변수별 기여 분해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작목 수익만 비교</w:t>
            </w:r>
          </w:p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 (효율 +33.3%)</w:t>
            </w:r>
          </w:p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마이크로데이터가 연구자 전유물</w:t>
            </w:r>
          </w:p>
          <w:shd w:val="clear" w:fill="F7F9F8"/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웹에서 누구나 즉시 이용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통계 용어 중심 보고서</w:t>
            </w:r>
          </w:p>
        </w:tc>
        <w:tc>
          <w:tcPr>
            <w:tcW w:type="dxa" w:w="56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임업 종사자의 말로 재작성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④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현장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8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시점</w:t>
            </w:r>
          </w:p>
          <w:shd w:val="clear" w:fill="E8EFEA"/>
        </w:tc>
        <w:tc>
          <w:tcPr>
            <w:tcW w:type="dxa" w:w="3175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임가가 하는 일</w:t>
            </w:r>
          </w:p>
          <w:shd w:val="clear" w:fill="E8EFEA"/>
        </w:tc>
        <w:tc>
          <w:tcPr>
            <w:tcW w:type="dxa" w:w="4535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시스템이 답하는 것</w:t>
            </w:r>
          </w:p>
          <w:shd w:val="clear" w:fill="E8EFEA"/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연초 · 영농 계획</w:t>
            </w:r>
          </w:p>
        </w:tc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경영비를 얼마로 잡을지 정한다</w:t>
            </w:r>
          </w:p>
        </w:tc>
        <w:tc>
          <w:tcPr>
            <w:tcW w:type="dxa" w:w="453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경영비 구간별 예측 ROI 곡선과 같은 조건 임가의 중앙값</w:t>
            </w:r>
          </w:p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봄 · 투자 판단</w:t>
            </w:r>
          </w:p>
          <w:shd w:val="clear" w:fill="F7F9F8"/>
        </w:tc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임목 갱신·시설 도입을 검토한다</w:t>
            </w:r>
          </w:p>
          <w:shd w:val="clear" w:fill="F7F9F8"/>
        </w:tc>
        <w:tc>
          <w:tcPr>
            <w:tcW w:type="dxa" w:w="453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수령 구간별 수익성, 보조사업 자부담률 기반 실효 ROI</w:t>
            </w:r>
          </w:p>
          <w:shd w:val="clear" w:fill="F7F9F8"/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여름 · 품질 관리</w:t>
            </w:r>
          </w:p>
        </w:tc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선별·전정에 얼마나 품을 들일지 정한다</w:t>
            </w:r>
          </w:p>
        </w:tc>
        <w:tc>
          <w:tcPr>
            <w:tcW w:type="dxa" w:w="453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등급 전환 시 ha당 수취액 증가분(밤 기준 +75,178원)</w:t>
            </w:r>
          </w:p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가을 · 출하</w:t>
            </w:r>
          </w:p>
          <w:shd w:val="clear" w:fill="F7F9F8"/>
        </w:tc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언제, 어디로 낼지 정한다</w:t>
            </w:r>
          </w:p>
          <w:shd w:val="clear" w:fill="F7F9F8"/>
        </w:tc>
        <w:tc>
          <w:tcPr>
            <w:tcW w:type="dxa" w:w="453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월별 도매가 추이, 시군구 단가 프리미엄</w:t>
            </w:r>
          </w:p>
          <w:shd w:val="clear" w:fill="F7F9F8"/>
        </w:tc>
      </w:tr>
      <w:tr>
        <w:tc>
          <w:tcPr>
            <w:tcW w:type="dxa" w:w="158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연말 · 복기</w:t>
            </w:r>
          </w:p>
        </w:tc>
        <w:tc>
          <w:tcPr>
            <w:tcW w:type="dxa" w:w="317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결과가 어땠는지 확인한다</w:t>
            </w:r>
          </w:p>
        </w:tc>
        <w:tc>
          <w:tcPr>
            <w:tcW w:type="dxa" w:w="4535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유사 임가 40곳과의 비교, 잘 버는 쪽과의 투입 구조 차이</w:t>
            </w:r>
          </w:p>
        </w:tc>
      </w:tr>
    </w:tbl>
    <w:p>
      <w:pPr>
        <w:spacing w:after="4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임업은 결정과 결과 사이의 간격이 긴 산업입니다. 밤나무를 새로 심으면 수확까지 여러 해가 걸립니다. 그래서 </w:t>
      </w:r>
      <w:r>
        <w:rPr>
          <w:rFonts w:ascii="맑은 고딕" w:hAnsi="맑은 고딕" w:eastAsia="맑은 고딕"/>
          <w:b/>
          <w:color w:val="1A1E21"/>
          <w:sz w:val="21"/>
        </w:rPr>
        <w:t>결정 시점에 근거를 주는 것</w:t>
      </w:r>
      <w:r>
        <w:rPr>
          <w:rFonts w:ascii="맑은 고딕" w:hAnsi="맑은 고딕" w:eastAsia="맑은 고딕"/>
          <w:b w:val="0"/>
          <w:color w:val="1A1E21"/>
          <w:sz w:val="21"/>
        </w:rPr>
        <w:t>이 사후 통계를 정확히 만드는 것보다 임가에게 실질적인 도움이 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대상</w:t>
            </w:r>
          </w:p>
          <w:shd w:val="clear" w:fill="E8EFEA"/>
        </w:tc>
        <w:tc>
          <w:tcPr>
            <w:tcW w:type="dxa" w:w="759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기대효과</w:t>
            </w:r>
          </w:p>
          <w:shd w:val="clear" w:fill="E8EFEA"/>
        </w:tc>
      </w:tr>
      <w:tr>
        <w:tc>
          <w:tcPr>
            <w:tcW w:type="dxa" w:w="170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</w:t>
            </w:r>
          </w:p>
        </w:tc>
        <w:tc>
          <w:tcPr>
            <w:tcW w:type="dxa" w:w="759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산림청·진흥원</w:t>
            </w:r>
          </w:p>
          <w:shd w:val="clear" w:fill="F7F9F8"/>
        </w:tc>
        <w:tc>
          <w:tcPr>
            <w:tcW w:type="dxa" w:w="759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조사 항목 개선 우선순위 도출 / 지원 사업 비용편익 산정 근거</w:t>
            </w:r>
          </w:p>
          <w:shd w:val="clear" w:fill="F7F9F8"/>
        </w:tc>
      </w:tr>
      <w:tr>
        <w:tc>
          <w:tcPr>
            <w:tcW w:type="dxa" w:w="170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지자체</w:t>
            </w:r>
          </w:p>
        </w:tc>
        <w:tc>
          <w:tcPr>
            <w:tcW w:type="dxa" w:w="759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연구자</w:t>
            </w:r>
          </w:p>
          <w:shd w:val="clear" w:fill="F7F9F8"/>
        </w:tc>
        <w:tc>
          <w:tcPr>
            <w:tcW w:type="dxa" w:w="759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 과정 재현 가능한 코드 공개 → 후속 연구 기반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확장 계획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 추가 결합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임가경제조사 세부 파일 결합으로 Model A 설명력 보강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산림경영지도원 현장 상담 도구로 배포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재현성 및 별첨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361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구분</w:t>
            </w:r>
          </w:p>
          <w:shd w:val="clear" w:fill="E8EFEA"/>
        </w:tc>
        <w:tc>
          <w:tcPr>
            <w:tcW w:type="dxa" w:w="7937"/>
          </w:tcPr>
          <w:p>
            <w:pPr>
              <w:spacing w:after="16" w:before="16" w:line="269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파일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전처리</w:t>
            </w:r>
          </w:p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src/preprocess.py, src/preprocess_cost.py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학습</w:t>
            </w:r>
          </w:p>
          <w:shd w:val="clear" w:fill="F7F9F8"/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src/train_optuna.py, src/train_cost.py, src/train_quantile.py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</w:t>
            </w:r>
          </w:p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src/insights.py, src/production.py, src/management.py, src/subsidy.py, src/region_map.py, src/portfolio.py, src/explain.py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외부 API</w:t>
            </w:r>
          </w:p>
          <w:shd w:val="clear" w:fill="F7F9F8"/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src/kamis_client.py, src/kma_client.py, src/weather.py, src/weather_sgg.py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도표 생성</w:t>
            </w:r>
          </w:p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src/make_figures.py, src/make_docx.py</w:t>
            </w:r>
          </w:p>
        </w:tc>
      </w:tr>
      <w:tr>
        <w:tc>
          <w:tcPr>
            <w:tcW w:type="dxa" w:w="1361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  <w:shd w:val="clear" w:fill="F7F9F8"/>
        </w:tc>
        <w:tc>
          <w:tcPr>
            <w:tcW w:type="dxa" w:w="7937"/>
          </w:tcPr>
          <w:p>
            <w:pPr>
              <w:spacing w:after="16" w:before="16" w:line="269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api/ (FastAPI), web/ (Vue 3)</w:t>
            </w:r>
          </w:p>
          <w:shd w:val="clear" w:fill="F7F9F8"/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이 분석에서 지킨 원칙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