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2026년 임업통계 활용 경진대회  |  데이터 분석 부문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1F5A38"/>
          <w:sz w:val="38"/>
        </w:rPr>
        <w:t>임가별 수익률 예측과 처방을 제공하는</w:t>
        <w:br/>
      </w:r>
      <w:r>
        <w:rPr>
          <w:rFonts w:ascii="맑은 고딕" w:hAnsi="맑은 고딕" w:eastAsia="맑은 고딕"/>
          <w:b/>
          <w:color w:val="1F5A38"/>
          <w:sz w:val="38"/>
        </w:rPr>
        <w:t>임업 의사결정 지원 시스템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— 임업통계 마이크로데이터 4종 + 공공데이터 3종 융복합 —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color w:val="1A1E21"/>
          <w:sz w:val="25"/>
        </w:rPr>
        <w:t>팀명 : 임과 함께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공모 분야</w:t>
            </w:r>
          </w:p>
        </w:tc>
        <w:tc>
          <w:tcPr>
            <w:tcW w:type="dxa" w:w="725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데이터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활용 통계 (필수)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 · 임산물생산비조사 · 임산물생산조사 · 임업경영실태조사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융복합 공공데이터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도매가격(aT) · 기상청 ASOS · 산림사업 보조금 목록 · 행정구역 경계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표본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4,438건(설명변수 22개) · Model B 4,712건(설명변수 169개)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핵심 성과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 대비 설명력 4.05배 / 5.95배 (패널 구조 활용 시 10.2배) · 예측구간 포함률 78.2% / 76.5% 검증 · 데이터 누수 자체 적발 및 교정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산출물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코드 전체(별첨) · FastAPI + Vue 3 웹 애플리케이션</w:t>
            </w:r>
          </w:p>
        </w:tc>
      </w:tr>
    </w:tbl>
    <w:p>
      <w:pPr>
        <w:spacing w:after="40"/>
      </w:pP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공백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겪는 일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개인화 부재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평균만 제공</w:t>
            </w:r>
          </w:p>
        </w:tc>
        <w:tc>
          <w:tcPr>
            <w:tcW w:type="dxa" w:w="4309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“우리 산은 저 평균과 다른데”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불확실성 은폐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숫자만 제시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평균을 확정값으로 오해 → 과잉 투자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 부재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현황 기술에 그침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“그래서 무엇을 바꾸라는 것인가”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56000" cy="2133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6000" cy="2133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임가 ROI 분포 — 평균은 대표값이 아니다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분포가 오른쪽으로 길게 늘어져 있어 평균(155.5%)이 중앙값(약 87%)보다 크게 위쪽에 놓입니다. 임가의 80%는 −38%에서 429% 사이에 흩어져 있습니다. 이 폭을 감춘 채 하나의 평균만 전달하는 것이 현행 통계 환류의 가장 큰 문제입니다.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96000" cy="20434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6000" cy="2043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19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무엇을 하는가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쓰인 기법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예측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남을지 구간과 함께 제시</w:t>
            </w:r>
          </w:p>
        </w:tc>
        <w:tc>
          <w:tcPr>
            <w:tcW w:type="dxa" w:w="374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+ 분위수 회귀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설명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왜 그 숫자가 나왔는지 분해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되는지 탐색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반사실(counterfactual) 격자 탐색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비교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비슷한 임가는 어떤지 제시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최근접 이웃 (로그 척도)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전략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팔지 · 무엇을 섞을지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시세 · 평균–분산 최적화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82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모델</w:t>
            </w:r>
          </w:p>
        </w:tc>
        <w:tc>
          <w:tcPr>
            <w:tcW w:type="dxa" w:w="782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 multivariate sampler — Model A 300 trial / Model B 200 trial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목적함수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5-fold CV OOF RMSE (단일 홀드아웃 과적합 방지)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불확실성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Quantile Regression (reg:quantileerror)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설명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 (pred_contribs)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Dirichlet 무작위 가중 6,000개 + 상관 수축 + 최근접 양정부호 행렬 투영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FastAPI (Python) + Vue 3 / Vite / Apache ECharts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22849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28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17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통계명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2019~2023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4,438 임가-연도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4,712 관측 (5품목)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2022~2024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196,579 관측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단가·LQ·가공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2018·2020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 단위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 실태 교차 검증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데이터명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농수산물 도매시장 가격 정보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품목별 월별 도매가 → 출하 시기 추천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 API 허브 종관기상관측(ASOS)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230개 · 기상 지표 15종 결합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42개 사업 자부담률 → 실효 ROI 산출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행정구역 경계 (시군구)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국토교통부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단위 단가 지도 시각화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LEAKY_PATTERNS = [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r"^소득$", r"^순수익$", r"^부가가치", r"평가액", r"생산액",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r"수확량", r"생산량", r"수량",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r"^생산비합계", r"^직접생산비$", r"^간접생산비$", r"^내급비$",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r"^타용도소비량$", r"^판매량", r"판매금액", r"^총수입",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]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# 투입 수량(비료 시비량 등)은 사전 결정 변수이므로 예외로 남긴다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KEEP_DESPITE_PATTERN = re.compile(r"^(무기질|유기질)_.*_수량_단위당$")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687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68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37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분할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베이스라인 3종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동일 분할·동일 지표로 비교 — 집단 평균(지역×업종 71개 집단), 선형회귀, Optuna XGBoost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하이퍼파라미터 탐색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GPU 병렬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NVIDIA A6000 2장에 trial을 라운드로빈 배정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테스트셋 평가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최종 파라미터 확정 후 단 한 번만 열었음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탐색으로 고른 주요 하이퍼파라미터는 다음과 같습니다. 두 모델의 값이 크게 다른 것은 자료의 성격 차이를 그대로 반영합니다. 설명변수가 22개뿐인 Model A는 깊게(max_depth 10) 파고들어야 신호를 잡을 수 있고, 169개인 Model B는 얕게 두되 규제를 강하게(reg_lambda 12.1) 걸어야 과적합을 피할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하이퍼파라미터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learning_rate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0.1213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0.0490</w:t>
            </w:r>
          </w:p>
        </w:tc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걸음의 보폭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max_depth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나무의 깊이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subsample / colsample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 / 0.90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 / 0.93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행·열 표본 비율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reg_lambda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0.214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12.083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L2 규제 강도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n_estimators / 탐색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445 / 300회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1,626 / 200회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 개수 / Optuna 시행</w:t>
            </w:r>
          </w:p>
        </w:tc>
      </w:tr>
    </w:tbl>
    <w:p>
      <w:pPr>
        <w:spacing w:after="40"/>
      </w:pP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분할 감사 — 스스로 의심하고 확인했습니다.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임가경제조사는 같은 임가를 여러 해 따라가는 패널입니다(임가 2,168곳 / 행 4,438). 행 단위로 무작위 분할하면 시험셋 444행 중 </w:t>
      </w:r>
      <w:r>
        <w:rPr>
          <w:rFonts w:ascii="맑은 고딕" w:hAnsi="맑은 고딕" w:eastAsia="맑은 고딕"/>
          <w:b/>
          <w:color w:val="1A1E21"/>
          <w:sz w:val="20"/>
        </w:rPr>
        <w:t>297행(66.9%)이 학습셋과 같은 임가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임가번호는 설명변수에 없지만 지역·업종·규모·경영비·자본의 조합이 사실상 임가를 특정하므로 외워서 맞힐 여지가 있습니다. 임가 단위로 다시 나눠 재보니 R² 0.1755 → 0.1574로, fold 간 표준편차(0.0321) 안이었습니다. </w:t>
      </w:r>
      <w:r>
        <w:rPr>
          <w:rFonts w:ascii="맑은 고딕" w:hAnsi="맑은 고딕" w:eastAsia="맑은 고딕"/>
          <w:b/>
          <w:color w:val="1A1E21"/>
          <w:sz w:val="20"/>
        </w:rPr>
        <w:t>영향이 제한적임을 확인했고, 보고한 수치는 그대로 유효합니다.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감사 코드는 src/audit_split.py에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RMSE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RMSE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 (집단 평균)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0.0428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192.03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0.1049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156.39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선형회귀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183.13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0.4894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118.12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Optuna XGBoost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0.1736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178.44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0.6243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101.33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개선 배수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×4.05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−7.1%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×5.95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−35.2%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321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32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동일 분할·동일 지표에서의 3종 모델 비교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Model B를 품목별로 나누어 보면 성능이 표본 수를 그대로 따라갑니다. </w:t>
      </w:r>
      <w:r>
        <w:rPr>
          <w:rFonts w:ascii="맑은 고딕" w:hAnsi="맑은 고딕" w:eastAsia="맑은 고딕"/>
          <w:b/>
          <w:color w:val="1A1E21"/>
          <w:sz w:val="21"/>
        </w:rPr>
        <w:t>표고 노지는 R²가 음수(−0.052)입니다.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테스트 표본이 32건뿐이라 모델이 평균보다도 못 맞힌다는 뜻입니다. 감추지 않고 그대로 싣고, 서비스 화면에서도 해당 품목에는 “표본이 적어 참고만 하십시오”라고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테스트 표본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0.5907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127.2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95.9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167건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0.5892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100.3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77.6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133건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0.5839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69.9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0.1710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66.3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제한적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-0.0522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63.6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51.1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32건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표본 부족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패널 구조를 쓰면 설명력이 네 배가 된다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임가경제조사가 같은 임가를 여러 해 따라가는 패널이라는 점을 확인하고, </w:t>
      </w:r>
      <w:r>
        <w:rPr>
          <w:rFonts w:ascii="맑은 고딕" w:hAnsi="맑은 고딕" w:eastAsia="맑은 고딕"/>
          <w:b/>
          <w:color w:val="1A1E21"/>
          <w:sz w:val="21"/>
        </w:rPr>
        <w:t>직전 연도 실적을 설명변수로 넣어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다시 학습했습니다. 임가가 올해를 계획할 때 작년 결과는 이미 알고 있는 정보이므로 미래 정보를 끌어다 쓰는 것이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fold 편차</w:t>
            </w:r>
          </w:p>
        </w:tc>
      </w:tr>
      <w:tr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0.0274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194.32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149.03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±0.0512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기존 22변수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0.0635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190.68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148.63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±0.0354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작년값 선형보정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0.2548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170.02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127.32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±0.0499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패널 변수 추가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0.2798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167.20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124.68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±0.0480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같은 부분집합에서 다시 잰 값입니다. </w:t>
      </w:r>
      <w:r>
        <w:rPr>
          <w:rFonts w:ascii="맑은 고딕" w:hAnsi="맑은 고딕" w:eastAsia="맑은 고딕"/>
          <w:b/>
          <w:color w:val="1A1E21"/>
          <w:sz w:val="21"/>
        </w:rPr>
        <w:t>작년 ROI 한 항목을 선형 보정한 것만으로 R² 0.2548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 나와, 설명변수 22개를 쓴 기존 모델(0.0635)의 네 배입니다. 패널 변수를 넣은 XGBoost는 0.2798로 </w:t>
      </w:r>
      <w:r>
        <w:rPr>
          <w:rFonts w:ascii="맑은 고딕" w:hAnsi="맑은 고딕" w:eastAsia="맑은 고딕"/>
          <w:b/>
          <w:color w:val="1A1E21"/>
          <w:sz w:val="21"/>
        </w:rPr>
        <w:t>산림청 방식(0.0274) 대비 10.2배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개선의 대부분은 모델이 아니라 자료에서 나왔습니다.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작년값 선형보정만으로 0.2548이고, 모델이 그 위에 더한 몫은 +0.025에 불과합니다. 이 점을 감추지 않습니다. 여기서 읽어야 할 것은 알고리즘의 우수성이 아니라 </w:t>
      </w:r>
      <w:r>
        <w:rPr>
          <w:rFonts w:ascii="맑은 고딕" w:hAnsi="맑은 고딕" w:eastAsia="맑은 고딕"/>
          <w:b/>
          <w:color w:val="1A1E21"/>
          <w:sz w:val="20"/>
        </w:rPr>
        <w:t>임가 수익률에는 조사표에 잡히지 않는 고유한 몫이 크고, 작년 실적이 그 대리 지표 노릇을 한다</w:t>
      </w:r>
      <w:r>
        <w:rPr>
          <w:rFonts w:ascii="맑은 고딕" w:hAnsi="맑은 고딕" w:eastAsia="맑은 고딕"/>
          <w:b w:val="0"/>
          <w:color w:val="1A1E21"/>
          <w:sz w:val="20"/>
        </w:rPr>
        <w:t>는 사실입니다.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과거로 배워 미래를 맞히는 조건 — 실제 사용 상황과 같습니다 — 에서도 앞섭니다. 2020년까지 배워 2021년을 맞힐 때 R² 0.2200(기존 0.1404), 2021년까지 배워 2022년을 맞힐 때 0.3207(기존 0.2442)입니다.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64000" cy="22415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24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패널 구조 활용 — 임가 단위 분할(좌)과 연도 단위 분할(우)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적용 범위와 한계.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모델은 직전 연도 관측이 있는 행에만 쓸 수 있습니다(4,438행 중 2,186행, 49.3%). 임가번호가 2019~2022년은 네 자리(1001…), 2023년은 다섯 자리(11021…)로 바뀌어 </w:t>
      </w:r>
      <w:r>
        <w:rPr>
          <w:rFonts w:ascii="맑은 고딕" w:hAnsi="맑은 고딕" w:eastAsia="맑은 고딕"/>
          <w:b/>
          <w:color w:val="1A1E21"/>
          <w:sz w:val="20"/>
        </w:rPr>
        <w:t>2022년과 2023년 사이 연결이 완전히 끊깁니다(교집합 0곳).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파일설계서에 안내가 없어 대조로 확인했습니다. 대조표가 마련되면 2023년 이후에도 쓸 수 있고, 그것만으로 예측 정확도가 네 배 오릅니다. 처음 이용하는 임가에게는 기존 Model A를 씁니다.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포함률 (명목 80%)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P10 미만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P90 초과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폭 중앙값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78.2%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11.0%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439.4%p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</w:t>
            </w:r>
          </w:p>
        </w:tc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76.5%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12.7%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209.9%p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사례 연구 — 한 임가에게 실제로 무엇을 말해 주는가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지표만 늘어놓으면 이 분석이 현장에서 어떻게 쓰이는지 보이지 않습니다. 실제 입력에 대한 시스템의 출력을 그대로 옮깁니다.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 항목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/ 업종</w:t>
            </w:r>
          </w:p>
        </w:tc>
        <w:tc>
          <w:tcPr>
            <w:tcW w:type="dxa" w:w="6123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 / 밤재배업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임지 규모 / 전겸업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5~10ha 미만 / 임업주업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경영주 연령 / 가구원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60대 / 3명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연간 임업경영비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1,500만원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기초 자본(순재산) / 연초 보유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3억원 / 500만원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① 예측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ROI </w:t>
      </w:r>
      <w:r>
        <w:rPr>
          <w:rFonts w:ascii="맑은 고딕" w:hAnsi="맑은 고딕" w:eastAsia="맑은 고딕"/>
          <w:b/>
          <w:color w:val="1A1E21"/>
          <w:sz w:val="21"/>
        </w:rPr>
        <w:t>111.0%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(P10 −48.9% ~ P90 286.9%). 집단 평균 방식은 같은 조건에 233.2%를 제시하지만, 이 임가의 경영비·자본 구조를 반영하면 그보다 낮게 나옵니다. 구간이 넓다는 사실 자체가 “확정된 수익이 아니다”라는 정보입니다.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② 설명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전체 평균 152.7%에서 이 임가의 111.0%까지, 무엇이 얼마나 끌어내렸는지 가법 분해합니다. 경영비 −63.5%p, 임지 규모 −41.5%p가 주된 하락 요인이고, 작목(+31.1%p)과 전업 여부(+22.1%p)가 이를 일부 상쇄합니다.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③ 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조건 임가의 중앙값(152.3%)을 목표로 반사실 탐색을 수행한 결과, </w:t>
      </w:r>
      <w:r>
        <w:rPr>
          <w:rFonts w:ascii="맑은 고딕" w:hAnsi="맑은 고딕" w:eastAsia="맑은 고딕"/>
          <w:b/>
          <w:color w:val="1A1E21"/>
          <w:sz w:val="21"/>
        </w:rPr>
        <w:t>한 해 경영비를 1,500만원에서 750만원으로 조정하면 예측 ROI는 195.9%</w:t>
      </w:r>
      <w:r>
        <w:rPr>
          <w:rFonts w:ascii="맑은 고딕" w:hAnsi="맑은 고딕" w:eastAsia="맑은 고딕"/>
          <w:b w:val="0"/>
          <w:color w:val="1A1E21"/>
          <w:sz w:val="21"/>
        </w:rPr>
        <w:t>로 오릅니다. 다만 이는 비율의 개선이며 소득 총액과는 다른 문제라는 점을 화면에 함께 표시합니다.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19700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1970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사례 — 예측 근거의 분해(좌)와 반사실 처방(우)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④ 비교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조건이 가장 비슷한 임가 40곳의 ROI 중앙값은 146.2%이며, 그중 잘 버는 쪽은 247.6%입니다. 두 집단을 가르는 가장 큰 차이는 </w:t>
      </w:r>
      <w:r>
        <w:rPr>
          <w:rFonts w:ascii="맑은 고딕" w:hAnsi="맑은 고딕" w:eastAsia="맑은 고딕"/>
          <w:b/>
          <w:color w:val="1A1E21"/>
          <w:sz w:val="21"/>
        </w:rPr>
        <w:t>면적당 일손(+300%)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과 </w:t>
      </w:r>
      <w:r>
        <w:rPr>
          <w:rFonts w:ascii="맑은 고딕" w:hAnsi="맑은 고딕" w:eastAsia="맑은 고딕"/>
          <w:b/>
          <w:color w:val="1A1E21"/>
          <w:sz w:val="21"/>
        </w:rPr>
        <w:t>면적당 쓰는 돈(+270.9%)</w:t>
      </w:r>
      <w:r>
        <w:rPr>
          <w:rFonts w:ascii="맑은 고딕" w:hAnsi="맑은 고딕" w:eastAsia="맑은 고딕"/>
          <w:b w:val="0"/>
          <w:color w:val="1A1E21"/>
          <w:sz w:val="21"/>
        </w:rPr>
        <w:t>이었습니다. 같은 금액을 쓰더라도 더 좁은 면적에 집중해 투입하는 쪽이 수익률이 높다는 뜻으로, 앞의 처방과 방향이 일치합니다.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이 네 단계가 본 시스템의 핵심입니다. </w:t>
      </w:r>
      <w:r>
        <w:rPr>
          <w:rFonts w:ascii="맑은 고딕" w:hAnsi="맑은 고딕" w:eastAsia="맑은 고딕"/>
          <w:b/>
          <w:color w:val="1A1E21"/>
          <w:sz w:val="20"/>
        </w:rPr>
        <w:t>예측만 주면 임가는 믿을 이유가 없고, 설명만 주면 무엇을 할지 모릅니다.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예측·설명·처방·비교를 함께 제시해야 비로소 의사결정에 쓸 수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품질 관리의 수익 기여를 금액으로 환산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412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41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지역 — 어디서 무엇이 잘 되고, 어디가 값을 더 받는가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임산물생산조사 196,579개 관측을 시군구 단위로 집계해 두 가지를 봤습니다. 하나는 </w:t>
      </w:r>
      <w:r>
        <w:rPr>
          <w:rFonts w:ascii="맑은 고딕" w:hAnsi="맑은 고딕" w:eastAsia="맑은 고딕"/>
          <w:b/>
          <w:color w:val="1A1E21"/>
          <w:sz w:val="21"/>
        </w:rPr>
        <w:t>어느 지역에서 어떤 품목이 실제로 수익을 내는가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이고, 다른 하나는 </w:t>
      </w:r>
      <w:r>
        <w:rPr>
          <w:rFonts w:ascii="맑은 고딕" w:hAnsi="맑은 고딕" w:eastAsia="맑은 고딕"/>
          <w:b/>
          <w:color w:val="1A1E21"/>
          <w:sz w:val="21"/>
        </w:rPr>
        <w:t>같은 품목이라도 지역에 따라 단가가 얼마나 다른가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23882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388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9] 지역×품목 수익성 — 조사 임가 15곳 이상인 조합만 표시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빈 칸이 많다는 사실 자체가 정보입니다. 대부분의 지역·품목 조합은 표본이 15곳에 미치지 못해 판단할 수 없습니다. 그런 칸에 억지로 숫자를 채우지 않았습니다.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특화도는 입지계수(LQ)로 쟀습니다. 그 지역 산업 구성에서 해당 품목이 전국 평균보다 얼마나 큰 비중을 차지하는지 보는 지표로, 1을 넘으면 특화되었다고 봅니다. </w:t>
      </w:r>
      <w:r>
        <w:rPr>
          <w:rFonts w:ascii="맑은 고딕" w:hAnsi="맑은 고딕" w:eastAsia="맑은 고딕"/>
          <w:b/>
          <w:color w:val="1A1E21"/>
          <w:sz w:val="21"/>
        </w:rPr>
        <w:t>밤의 충남 LQ는 6.73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으로 전국 생산금액의 59.1%가 한 시도에 몰려 있습니다(세종 3.23, 충북 1.32). 단가는 별개입니다. 2024년 밤의 전국 가중평균단가 2,699원/kg 대비 경기가 +30.4%, 대전 +28.9%, 충북 +27.2%로 </w:t>
      </w:r>
      <w:r>
        <w:rPr>
          <w:rFonts w:ascii="맑은 고딕" w:hAnsi="맑은 고딕" w:eastAsia="맑은 고딕"/>
          <w:b/>
          <w:color w:val="1A1E21"/>
          <w:sz w:val="21"/>
        </w:rPr>
        <w:t>주산지가 반드시 단가가 높지는 않습니다.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물량이 몰리는 곳은 오히려 단가가 눌립니다. 생산 특화도와 단가 프리미엄을 함께 봐야 출하처 판단이 가능합니다.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결과 ⑦ 작목 조합 위험 분산, 그리고 예상 밖의 발견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작목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기대수익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 변동 σ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 격차 σ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효율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조사연도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127.8%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±19.1%p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±164.4%p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6.69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1,284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±10.7%p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±121.3%p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5.18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1,140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±39.5%p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±183.8%p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3.69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1,743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15.8%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±13.1%p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±95.0%p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1.20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333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10.0%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±20.1%p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±73.6%p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212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8000" cy="23208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8000" cy="232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10] 작목 조합의 위험–수익 지도 (평균–분산 접근)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68000" cy="22004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8000" cy="22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11]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아. 결과 ⑧ 그 밖의 분석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자. 결과 ⑨ 서비스 구현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 용어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화면 표기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ROI 예측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출하 시기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 처방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좋을까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포트폴리오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작목에 몰아도 될까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전</w:t>
            </w:r>
          </w:p>
        </w:tc>
        <w:tc>
          <w:tcPr>
            <w:tcW w:type="dxa" w:w="56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후</w:t>
            </w:r>
          </w:p>
        </w:tc>
      </w:tr>
      <w:tr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지역·품목 집단 평균 제공 (R² 0.0428)</w:t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 제시, 불확실성 은폐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포함률 78.2% / 76.5% 검증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“평균이 이렇다”는 현황 기술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반사실 처방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예측 근거 불투명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TreeSHAP 변수별 기여 분해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작목 수익만 비교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 (효율 +33.3%)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마이크로데이터가 연구자 전유물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웹에서 누구나 즉시 이용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통계 용어 중심 보고서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임업 종사자의 말로 재작성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④ 패널 연결의 복구 — 비용 대비 효과가 가장 큰 개선.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임가번호 체계가 2023년에 바뀌면서 패널 연결이 끊겼습니다. </w:t>
      </w:r>
      <w:r>
        <w:rPr>
          <w:rFonts w:ascii="맑은 고딕" w:hAnsi="맑은 고딕" w:eastAsia="맑은 고딕"/>
          <w:b/>
          <w:color w:val="1A1E21"/>
          <w:sz w:val="21"/>
        </w:rPr>
        <w:t>연도 간 대조표를 마련하는 것만으로 예측 설명력이 0.06에서 0.28로, 네 배 이상 오릅니다.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새 조사 항목을 추가하는 것보다 훨씬 적은 비용으로 얻을 수 있는 개선입니다. 임가경제조사가 이미 패널로 설계되어 있는데도 그 구조가 활용되지 못하고 있는 셈입니다.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⑤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현장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하는 일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시스템이 답하는 것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연초 · 영농 계획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경영비를 얼마로 잡을지 정한다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경영비 구간별 예측 ROI 곡선과 같은 조건 임가의 중앙값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봄 · 투자 판단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임목 갱신·시설 도입을 검토한다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수령 구간별 수익성, 보조사업 자부담률 기반 실효 ROI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여름 · 품질 관리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선별·전정에 얼마나 품을 들일지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등급 전환 시 ha당 수취액 증가분(밤 기준 +75,178원)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가을 · 출하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언제, 어디로 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월별 도매가 추이, 시군구 단가 프리미엄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연말 · 복기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결과가 어땠는지 확인한다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유사 임가 40곳과의 비교, 잘 버는 쪽과의 투입 구조 차이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임업은 결정과 결과 사이의 간격이 긴 산업입니다. 밤나무를 새로 심으면 수확까지 여러 해가 걸립니다. 그래서 </w:t>
      </w:r>
      <w:r>
        <w:rPr>
          <w:rFonts w:ascii="맑은 고딕" w:hAnsi="맑은 고딕" w:eastAsia="맑은 고딕"/>
          <w:b/>
          <w:color w:val="1A1E21"/>
          <w:sz w:val="21"/>
        </w:rPr>
        <w:t>결정 시점에 근거를 주는 것</w:t>
      </w:r>
      <w:r>
        <w:rPr>
          <w:rFonts w:ascii="맑은 고딕" w:hAnsi="맑은 고딕" w:eastAsia="맑은 고딕"/>
          <w:b w:val="0"/>
          <w:color w:val="1A1E21"/>
          <w:sz w:val="21"/>
        </w:rPr>
        <w:t>이 사후 통계를 정확히 만드는 것보다 임가에게 실질적인 도움이 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759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기대효과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</w:t>
            </w:r>
          </w:p>
        </w:tc>
        <w:tc>
          <w:tcPr>
            <w:tcW w:type="dxa" w:w="759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산림청·진흥원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조사 항목 개선 우선순위 도출 / 지원 사업 비용편익 산정 근거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지자체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연구자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 과정 재현 가능한 코드 공개 → 후속 연구 기반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확장 계획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 추가 결합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임가경제조사 세부 파일 결합으로 Model A 설명력 보강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산림경영지도원 현장 상담 도구로 배포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재현성 및 별첨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전처리</w:t>
            </w:r>
          </w:p>
        </w:tc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src/preprocess.py, src/preprocess_cost.py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학습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src/train_optuna.py, src/train_cost.py, src/train_quantile.py, src/train_panel.py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src/insights.py, src/production.py, src/management.py, src/subsidy.py, src/region_map.py, src/portfolio.py, src/explain.py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외부 API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src/kamis_client.py, src/kma_client.py, src/weather.py, src/weather_sgg.py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검증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src/audit_split.py — 분할 감사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도표 생성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src/make_figures.py, src/make_docx.py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93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api/ (FastAPI), web/ (Vue 3)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이 분석에서 지킨 원칙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