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1134"/>
        <w:gridCol w:w="3175"/>
      </w:tblGrid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팀명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닿다</w:t>
            </w:r>
          </w:p>
        </w:tc>
        <w:tc>
          <w:tcPr>
            <w:tcW w:type="dxa" w:w="113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분야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응용서비스(N/W 활용 서비스)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AI · 접근성</w:t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과제명</w:t>
            </w:r>
          </w:p>
        </w:tc>
        <w:tc>
          <w:tcPr>
            <w:tcW w:type="dxa" w:w="8391"/>
            <w:gridSpan w:val="3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SignBridge — KOREN 기반 재난정보 한국수어(KSL) 양방향 AI 통역 서비스</w:t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과제소개</w:t>
            </w:r>
          </w:p>
        </w:tc>
        <w:tc>
          <w:tcPr>
            <w:tcW w:type="dxa" w:w="8391"/>
            <w:gridSpan w:val="3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재난문자는 한국어로만 오고, 농인에게 한국수어는 어순·문법이 다른 제1언어다. SignBridge는 재난문자·창구 직원의 말을 실제 농인 수어자 동작(12,833종)으로 만든 3D 아바타 수어로 전달하고, 농인이 카메라 앞에서 한 수어를 인식(13,576종)해 한국어 문장·음성과 '가까운 대피소의 방향·거리'로 되돌려 답한다. 모든 추론이 브라우저 안에서 돌아 영상이 기기 밖으로 나가지 않으며, 통신이 끊긴 재난 현장(비행기 모드)에서도 동작한다.</w:t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KOREN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사용목적</w:t>
            </w:r>
          </w:p>
        </w:tc>
        <w:tc>
          <w:tcPr>
            <w:tcW w:type="dxa" w:w="8391"/>
            <w:gridSpan w:val="3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AI Hub 대용량 수어 말뭉치를 연구망으로 받아 GPU에서 인식·번역 모델을 학습하고(AI Cloud), 영상→관절 좌표 변환을 CPU VM으로 분산하며(HPC 이노베이션 허브), 심사·시연용 서비스를 24시간 상시 운영(KOREN VM)하기 위함.</w:t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KOREN 연동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및 결과분석</w:t>
            </w:r>
          </w:p>
        </w:tc>
        <w:tc>
          <w:tcPr>
            <w:tcW w:type="dxa" w:w="8391"/>
            <w:gridSpan w:val="3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· AI Cloud(H200 MIG 1g.35GB): 실데이터 133GB 수신, 40만 클립 스트리밍 ETL, 모델 4종 학습·평가(에폭당 215만 세그먼트, 21~25분)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MIG의 '메모리 넉넉·연산 부족' 특성에 맞춰 영상 CNN 대신 2.8M 랜드마크 트랜스포머를 채택 → 13,576종 분류를 학습 가능하게 함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영상 대신 관절 좌표를 다뤄 문장당 약 2.4KB(영상의 약 1/2,000) — 무거운 원본은 연구망 안에 두고 수십 MB 모델만 기기로 배포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HPC: PBS 분산 변환 잡 구성 · KOREN VM: 상시 데모 서버 운영</w:t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네트워크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구성도</w:t>
            </w:r>
          </w:p>
        </w:tc>
        <w:tc>
          <w:tcPr>
            <w:tcW w:type="dxa" w:w="8391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84000" cy="28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wo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shd w:val="clear" w:fill="E7EE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휴먼명조" w:hAnsi="휴먼명조" w:eastAsia="휴먼명조"/>
                <w:b/>
                <w:sz w:val="20"/>
              </w:rPr>
              <w:t>과제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주요 성과</w:t>
            </w:r>
          </w:p>
        </w:tc>
        <w:tc>
          <w:tcPr>
            <w:tcW w:type="dxa" w:w="8391"/>
            <w:gridSpan w:val="3"/>
          </w:tcPr>
          <w:p>
            <w:pPr>
              <w:spacing w:after="0" w:line="288" w:lineRule="auto"/>
            </w:pPr>
            <w:r/>
            <w:r>
              <w:rPr>
                <w:rFonts w:ascii="휴먼명조" w:hAnsi="휴먼명조" w:eastAsia="휴먼명조"/>
                <w:b w:val="0"/>
                <w:sz w:val="20"/>
              </w:rPr>
              <w:t>· 수어 낱말 인식 13,576종: 학습에 없던 수어자 13명에서 top-1 78.6% · top-5 91.9%(수어자 분리 평가)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한국어→글로스 학습 모델 F1 61.3 · BLEU-4 27.1, int8 30MB로 브라우저에서 문장당 144ms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번역 낱말 표현률 행동요령·길찾기 100%, 재난문자 95.8%, 창구 대화 홀드아웃 94.8% · 오역 회귀 156건 자동 검사</w:t>
            </w:r>
          </w:p>
          <w:p>
            <w:pPr>
              <w:spacing w:after="0" w:line="288" w:lineRule="auto"/>
            </w:pPr>
            <w:r>
              <w:rPr>
                <w:rFonts w:ascii="휴먼명조" w:hAnsi="휴먼명조" w:eastAsia="휴먼명조"/>
                <w:b w:val="0"/>
                <w:sz w:val="20"/>
              </w:rPr>
              <w:t>· 전국 28,125곳(대피소 14,134곳) 오프라인 길 안내 · 폰·태블릿·키오스크 실조작 검증 · 복지관 현장 시연 및 당사자 평가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휴먼명조" w:hAnsi="휴먼명조" w:eastAsia="휴먼명조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