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ayout w:type="fixed"/>
        <w:tblLook w:firstColumn="1" w:firstRow="1" w:lastColumn="0" w:lastRow="0" w:noHBand="0" w:noVBand="1" w:val="04A0"/>
      </w:tblPr>
      <w:tblGrid>
        <w:gridCol w:w="1474"/>
        <w:gridCol w:w="4082"/>
        <w:gridCol w:w="1134"/>
        <w:gridCol w:w="3175"/>
      </w:tblGrid>
      <w:tr>
        <w:tc>
          <w:tcPr>
            <w:tcW w:type="dxa" w:w="1474"/>
            <w:shd w:val="clear" w:fill="E7EEF8"/>
          </w:tcPr>
          <w:p>
            <w:pPr>
              <w:spacing w:after="0" w:line="288" w:lineRule="auto"/>
              <w:jc w:val="center"/>
            </w:pPr>
            <w:r/>
            <w:r>
              <w:rPr>
                <w:rFonts w:ascii="휴먼명조" w:hAnsi="휴먼명조" w:eastAsia="휴먼명조"/>
                <w:b/>
                <w:sz w:val="20"/>
              </w:rPr>
              <w:t>팀명</w:t>
            </w:r>
          </w:p>
        </w:tc>
        <w:tc>
          <w:tcPr>
            <w:tcW w:type="dxa" w:w="4082"/>
          </w:tcPr>
          <w:p>
            <w:pPr>
              <w:spacing w:after="0" w:line="288" w:lineRule="auto"/>
            </w:pPr>
            <w:r/>
            <w:r>
              <w:rPr>
                <w:rFonts w:ascii="휴먼명조" w:hAnsi="휴먼명조" w:eastAsia="휴먼명조"/>
                <w:b w:val="0"/>
                <w:sz w:val="20"/>
              </w:rPr>
              <w:t>닿다</w:t>
            </w:r>
          </w:p>
        </w:tc>
        <w:tc>
          <w:tcPr>
            <w:tcW w:type="dxa" w:w="1134"/>
            <w:shd w:val="clear" w:fill="E7EEF8"/>
          </w:tcPr>
          <w:p>
            <w:pPr>
              <w:spacing w:after="0" w:line="288" w:lineRule="auto"/>
              <w:jc w:val="center"/>
            </w:pPr>
            <w:r/>
            <w:r>
              <w:rPr>
                <w:rFonts w:ascii="휴먼명조" w:hAnsi="휴먼명조" w:eastAsia="휴먼명조"/>
                <w:b/>
                <w:sz w:val="20"/>
              </w:rPr>
              <w:t>분야</w:t>
            </w:r>
          </w:p>
        </w:tc>
        <w:tc>
          <w:tcPr>
            <w:tcW w:type="dxa" w:w="3175"/>
          </w:tcPr>
          <w:p>
            <w:pPr>
              <w:spacing w:after="0" w:line="288" w:lineRule="auto"/>
            </w:pPr>
            <w:r/>
            <w:r>
              <w:rPr>
                <w:rFonts w:ascii="휴먼명조" w:hAnsi="휴먼명조" w:eastAsia="휴먼명조"/>
                <w:b w:val="0"/>
                <w:sz w:val="20"/>
              </w:rPr>
              <w:t>응용서비스(N/W 활용 서비스)</w:t>
            </w:r>
          </w:p>
          <w:p>
            <w:pPr>
              <w:spacing w:after="0" w:line="288" w:lineRule="auto"/>
            </w:pPr>
            <w:r>
              <w:rPr>
                <w:rFonts w:ascii="휴먼명조" w:hAnsi="휴먼명조" w:eastAsia="휴먼명조"/>
                <w:b w:val="0"/>
                <w:sz w:val="20"/>
              </w:rPr>
              <w:t>AI · 접근성</w:t>
            </w:r>
          </w:p>
        </w:tc>
      </w:tr>
      <w:tr>
        <w:tc>
          <w:tcPr>
            <w:tcW w:type="dxa" w:w="1474"/>
            <w:shd w:val="clear" w:fill="E7EEF8"/>
          </w:tcPr>
          <w:p>
            <w:pPr>
              <w:spacing w:after="0" w:line="288" w:lineRule="auto"/>
              <w:jc w:val="center"/>
            </w:pPr>
            <w:r/>
            <w:r>
              <w:rPr>
                <w:rFonts w:ascii="휴먼명조" w:hAnsi="휴먼명조" w:eastAsia="휴먼명조"/>
                <w:b/>
                <w:sz w:val="20"/>
              </w:rPr>
              <w:t>과제명</w:t>
            </w:r>
          </w:p>
        </w:tc>
        <w:tc>
          <w:tcPr>
            <w:tcW w:type="dxa" w:w="8391"/>
            <w:gridSpan w:val="3"/>
          </w:tcPr>
          <w:p>
            <w:pPr>
              <w:spacing w:after="0" w:line="288" w:lineRule="auto"/>
            </w:pPr>
            <w:r/>
            <w:r>
              <w:rPr>
                <w:rFonts w:ascii="휴먼명조" w:hAnsi="휴먼명조" w:eastAsia="휴먼명조"/>
                <w:b w:val="0"/>
                <w:sz w:val="20"/>
              </w:rPr>
              <w:t>SignBridge — KOREN 기반 재난정보 한국수어(KSL) 양방향 AI 통역 서비스</w:t>
            </w:r>
          </w:p>
        </w:tc>
      </w:tr>
      <w:tr>
        <w:tc>
          <w:tcPr>
            <w:tcW w:type="dxa" w:w="1474"/>
            <w:shd w:val="clear" w:fill="E7EEF8"/>
          </w:tcPr>
          <w:p>
            <w:pPr>
              <w:spacing w:after="0" w:line="288" w:lineRule="auto"/>
              <w:jc w:val="center"/>
            </w:pPr>
            <w:r/>
            <w:r>
              <w:rPr>
                <w:rFonts w:ascii="휴먼명조" w:hAnsi="휴먼명조" w:eastAsia="휴먼명조"/>
                <w:b/>
                <w:sz w:val="20"/>
              </w:rPr>
              <w:t>과제소개</w:t>
            </w:r>
          </w:p>
        </w:tc>
        <w:tc>
          <w:tcPr>
            <w:tcW w:type="dxa" w:w="8391"/>
            <w:gridSpan w:val="3"/>
          </w:tcPr>
          <w:p>
            <w:pPr>
              <w:spacing w:after="0" w:line="288" w:lineRule="auto"/>
            </w:pPr>
            <w:r/>
            <w:r>
              <w:rPr>
                <w:rFonts w:ascii="휴먼명조" w:hAnsi="휴먼명조" w:eastAsia="휴먼명조"/>
                <w:b w:val="0"/>
                <w:sz w:val="20"/>
              </w:rPr>
              <w:t>재난문자는 한국어로만 오고, 농인에게 한국수어는 어순·문법이 다른 제1언어다. SignBridge는 재난문자·창구 직원의 말을 실제 농인 수어자 동작(12,833종)으로 만든 3D 아바타 수어로 전달하고, 농인이 카메라 앞에서 한 수어를 인식(13,576종)해 한국어 문장·음성과 '가까운 대피소의 방향·거리'로 되돌려 답한다. 모든 추론이 브라우저 안에서 돌아 영상이 기기 밖으로 나가지 않으며, 통신이 끊긴 재난 현장(비행기 모드)에서도 동작한다.</w:t>
            </w:r>
          </w:p>
        </w:tc>
      </w:tr>
      <w:tr>
        <w:tc>
          <w:tcPr>
            <w:tcW w:type="dxa" w:w="1474"/>
            <w:shd w:val="clear" w:fill="E7EEF8"/>
          </w:tcPr>
          <w:p>
            <w:pPr>
              <w:spacing w:after="0" w:line="288" w:lineRule="auto"/>
              <w:jc w:val="center"/>
            </w:pPr>
            <w:r/>
            <w:r>
              <w:rPr>
                <w:rFonts w:ascii="휴먼명조" w:hAnsi="휴먼명조" w:eastAsia="휴먼명조"/>
                <w:b/>
                <w:sz w:val="20"/>
              </w:rPr>
              <w:t>KOREN</w:t>
            </w:r>
          </w:p>
          <w:p>
            <w:pPr>
              <w:spacing w:after="0" w:line="288" w:lineRule="auto"/>
              <w:jc w:val="center"/>
            </w:pPr>
            <w:r>
              <w:rPr>
                <w:rFonts w:ascii="휴먼명조" w:hAnsi="휴먼명조" w:eastAsia="휴먼명조"/>
                <w:b/>
                <w:sz w:val="20"/>
              </w:rPr>
              <w:t>사용목적</w:t>
            </w:r>
          </w:p>
        </w:tc>
        <w:tc>
          <w:tcPr>
            <w:tcW w:type="dxa" w:w="8391"/>
            <w:gridSpan w:val="3"/>
          </w:tcPr>
          <w:p>
            <w:pPr>
              <w:spacing w:after="0" w:line="288" w:lineRule="auto"/>
            </w:pPr>
            <w:r/>
            <w:r>
              <w:rPr>
                <w:rFonts w:ascii="휴먼명조" w:hAnsi="휴먼명조" w:eastAsia="휴먼명조"/>
                <w:b w:val="0"/>
                <w:sz w:val="20"/>
              </w:rPr>
              <w:t>KOREN을 Core·Edge·단말 3계층으로 나눠 쓴다. Core(수도권)에서는 AI Hub 대용량 원본을 연구망으로 받아 AI Cloud GPU로 인식·번역 모델을 학습하고 HPC로 전처리를 분산하며, KOREN VM이 24시간 원천 서버로 앱·모델을 배포한다. Edge(지역 PoP)에는 KB 단위 수어 패키지를 캐시해 재난 지역 가까이에서 송출하고, 단말은 기기 안에서 추론해 통신이 끊겨도 답한다.</w:t>
            </w:r>
          </w:p>
        </w:tc>
      </w:tr>
      <w:tr>
        <w:tc>
          <w:tcPr>
            <w:tcW w:type="dxa" w:w="1474"/>
            <w:shd w:val="clear" w:fill="E7EEF8"/>
          </w:tcPr>
          <w:p>
            <w:pPr>
              <w:spacing w:after="0" w:line="288" w:lineRule="auto"/>
              <w:jc w:val="center"/>
            </w:pPr>
            <w:r/>
            <w:r>
              <w:rPr>
                <w:rFonts w:ascii="휴먼명조" w:hAnsi="휴먼명조" w:eastAsia="휴먼명조"/>
                <w:b/>
                <w:sz w:val="20"/>
              </w:rPr>
              <w:t>KOREN 연동</w:t>
            </w:r>
          </w:p>
          <w:p>
            <w:pPr>
              <w:spacing w:after="0" w:line="288" w:lineRule="auto"/>
              <w:jc w:val="center"/>
            </w:pPr>
            <w:r>
              <w:rPr>
                <w:rFonts w:ascii="휴먼명조" w:hAnsi="휴먼명조" w:eastAsia="휴먼명조"/>
                <w:b/>
                <w:sz w:val="20"/>
              </w:rPr>
              <w:t>및 결과분석</w:t>
            </w:r>
          </w:p>
        </w:tc>
        <w:tc>
          <w:tcPr>
            <w:tcW w:type="dxa" w:w="8391"/>
            <w:gridSpan w:val="3"/>
          </w:tcPr>
          <w:p>
            <w:pPr>
              <w:spacing w:after="0" w:line="288" w:lineRule="auto"/>
            </w:pPr>
            <w:r/>
            <w:r>
              <w:rPr>
                <w:rFonts w:ascii="휴먼명조" w:hAnsi="휴먼명조" w:eastAsia="휴먼명조"/>
                <w:b w:val="0"/>
                <w:sz w:val="20"/>
              </w:rPr>
              <w:t>· AI Cloud(H200 MIG 1g.35GB): 실데이터 133GB 수신, 40만 클립 스트리밍 ETL, 모델 4종 학습·평가(에폭당 215만 세그먼트, 21~25분)</w:t>
            </w:r>
          </w:p>
          <w:p>
            <w:pPr>
              <w:spacing w:after="0" w:line="288" w:lineRule="auto"/>
            </w:pPr>
            <w:r>
              <w:rPr>
                <w:rFonts w:ascii="휴먼명조" w:hAnsi="휴먼명조" w:eastAsia="휴먼명조"/>
                <w:b w:val="0"/>
                <w:sz w:val="20"/>
              </w:rPr>
              <w:t>· MIG의 '메모리 넉넉·연산 부족' 특성에 맞춰 영상 CNN 대신 2.8M 랜드마크 트랜스포머 채택 → 13,576종 분류를 학습 가능하게 함</w:t>
            </w:r>
          </w:p>
          <w:p>
            <w:pPr>
              <w:spacing w:after="0" w:line="288" w:lineRule="auto"/>
            </w:pPr>
            <w:r>
              <w:rPr>
                <w:rFonts w:ascii="휴먼명조" w:hAnsi="휴먼명조" w:eastAsia="휴먼명조"/>
                <w:b w:val="0"/>
                <w:sz w:val="20"/>
              </w:rPr>
              <w:t>· 원본은 Core에 두고 밖으로는 모델(약 50MB)과 수어 패키지(문장당 약 2.4KB, 영상의 약 1/2,000)만 → 전국 동시 발령에도 회선 부담이 작음</w:t>
            </w:r>
          </w:p>
          <w:p>
            <w:pPr>
              <w:spacing w:after="0" w:line="288" w:lineRule="auto"/>
            </w:pPr>
            <w:r>
              <w:rPr>
                <w:rFonts w:ascii="휴먼명조" w:hAnsi="휴먼명조" w:eastAsia="휴먼명조"/>
                <w:b w:val="0"/>
                <w:sz w:val="20"/>
              </w:rPr>
              <w:t>· KOREN VM 상시 운영 · HPC PBS 분산 변환 잡 구성 · 지역 PoP 다지점 송출 지연 실측은 후속 과제</w:t>
            </w:r>
          </w:p>
        </w:tc>
      </w:tr>
      <w:tr>
        <w:tc>
          <w:tcPr>
            <w:tcW w:type="dxa" w:w="1474"/>
            <w:shd w:val="clear" w:fill="E7EEF8"/>
          </w:tcPr>
          <w:p>
            <w:pPr>
              <w:spacing w:after="0" w:line="288" w:lineRule="auto"/>
              <w:jc w:val="center"/>
            </w:pPr>
            <w:r/>
            <w:r>
              <w:rPr>
                <w:rFonts w:ascii="휴먼명조" w:hAnsi="휴먼명조" w:eastAsia="휴먼명조"/>
                <w:b/>
                <w:sz w:val="20"/>
              </w:rPr>
              <w:t>네트워크</w:t>
            </w:r>
          </w:p>
          <w:p>
            <w:pPr>
              <w:spacing w:after="0" w:line="288" w:lineRule="auto"/>
              <w:jc w:val="center"/>
            </w:pPr>
            <w:r>
              <w:rPr>
                <w:rFonts w:ascii="휴먼명조" w:hAnsi="휴먼명조" w:eastAsia="휴먼명조"/>
                <w:b/>
                <w:sz w:val="20"/>
              </w:rPr>
              <w:t>구성도</w:t>
            </w:r>
          </w:p>
        </w:tc>
        <w:tc>
          <w:tcPr>
            <w:tcW w:type="dxa" w:w="8391"/>
            <w:gridSpan w:val="3"/>
          </w:tcPr>
          <w:p>
            <w:pPr>
              <w:jc w:val="center"/>
            </w:pPr>
            <w:r/>
            <w:r>
              <w:drawing>
                <wp:inline xmlns:a="http://schemas.openxmlformats.org/drawingml/2006/main" xmlns:pic="http://schemas.openxmlformats.org/drawingml/2006/picture">
                  <wp:extent cx="5184000" cy="3304800"/>
                  <wp:docPr id="1" name="Picture 1"/>
                  <wp:cNvGraphicFramePr>
                    <a:graphicFrameLocks noChangeAspect="1"/>
                  </wp:cNvGraphicFramePr>
                  <a:graphic>
                    <a:graphicData uri="http://schemas.openxmlformats.org/drawingml/2006/picture">
                      <pic:pic>
                        <pic:nvPicPr>
                          <pic:cNvPr id="0" name="koren_network.png"/>
                          <pic:cNvPicPr/>
                        </pic:nvPicPr>
                        <pic:blipFill>
                          <a:blip r:embed="rId9"/>
                          <a:stretch>
                            <a:fillRect/>
                          </a:stretch>
                        </pic:blipFill>
                        <pic:spPr>
                          <a:xfrm>
                            <a:off x="0" y="0"/>
                            <a:ext cx="5184000" cy="3304800"/>
                          </a:xfrm>
                          <a:prstGeom prst="rect"/>
                        </pic:spPr>
                      </pic:pic>
                    </a:graphicData>
                  </a:graphic>
                </wp:inline>
              </w:drawing>
            </w:r>
          </w:p>
        </w:tc>
      </w:tr>
      <w:tr>
        <w:tc>
          <w:tcPr>
            <w:tcW w:type="dxa" w:w="1474"/>
            <w:shd w:val="clear" w:fill="E7EEF8"/>
          </w:tcPr>
          <w:p>
            <w:pPr>
              <w:spacing w:after="0" w:line="288" w:lineRule="auto"/>
              <w:jc w:val="center"/>
            </w:pPr>
            <w:r/>
            <w:r>
              <w:rPr>
                <w:rFonts w:ascii="휴먼명조" w:hAnsi="휴먼명조" w:eastAsia="휴먼명조"/>
                <w:b/>
                <w:sz w:val="20"/>
              </w:rPr>
              <w:t>과제</w:t>
            </w:r>
          </w:p>
          <w:p>
            <w:pPr>
              <w:spacing w:after="0" w:line="288" w:lineRule="auto"/>
              <w:jc w:val="center"/>
            </w:pPr>
            <w:r>
              <w:rPr>
                <w:rFonts w:ascii="휴먼명조" w:hAnsi="휴먼명조" w:eastAsia="휴먼명조"/>
                <w:b/>
                <w:sz w:val="20"/>
              </w:rPr>
              <w:t>주요 성과</w:t>
            </w:r>
          </w:p>
        </w:tc>
        <w:tc>
          <w:tcPr>
            <w:tcW w:type="dxa" w:w="8391"/>
            <w:gridSpan w:val="3"/>
          </w:tcPr>
          <w:p>
            <w:pPr>
              <w:spacing w:after="0" w:line="288" w:lineRule="auto"/>
            </w:pPr>
            <w:r/>
            <w:r>
              <w:rPr>
                <w:rFonts w:ascii="휴먼명조" w:hAnsi="휴먼명조" w:eastAsia="휴먼명조"/>
                <w:b w:val="0"/>
                <w:sz w:val="20"/>
              </w:rPr>
              <w:t>· 수어 낱말 인식 13,576종: 학습에 없던 수어자 13명에서 top-1 78.6% · top-5 91.9%(수어자 분리 평가)</w:t>
            </w:r>
          </w:p>
          <w:p>
            <w:pPr>
              <w:spacing w:after="0" w:line="288" w:lineRule="auto"/>
            </w:pPr>
            <w:r>
              <w:rPr>
                <w:rFonts w:ascii="휴먼명조" w:hAnsi="휴먼명조" w:eastAsia="휴먼명조"/>
                <w:b w:val="0"/>
                <w:sz w:val="20"/>
              </w:rPr>
              <w:t>· 한국어→글로스 학습 모델 F1 61.3 · BLEU-4 27.1, int8 30MB로 브라우저에서 문장당 144ms</w:t>
            </w:r>
          </w:p>
          <w:p>
            <w:pPr>
              <w:spacing w:after="0" w:line="288" w:lineRule="auto"/>
            </w:pPr>
            <w:r>
              <w:rPr>
                <w:rFonts w:ascii="휴먼명조" w:hAnsi="휴먼명조" w:eastAsia="휴먼명조"/>
                <w:b w:val="0"/>
                <w:sz w:val="20"/>
              </w:rPr>
              <w:t>· 번역 낱말 표현률 행동요령·길찾기 100%, 재난문자 95.8%, 창구 대화 홀드아웃 94.8% · 오역 회귀 156건 자동 검사</w:t>
            </w:r>
          </w:p>
          <w:p>
            <w:pPr>
              <w:spacing w:after="0" w:line="288" w:lineRule="auto"/>
            </w:pPr>
            <w:r>
              <w:rPr>
                <w:rFonts w:ascii="휴먼명조" w:hAnsi="휴먼명조" w:eastAsia="휴먼명조"/>
                <w:b w:val="0"/>
                <w:sz w:val="20"/>
              </w:rPr>
              <w:t>· 전국 28,125곳(대피소 14,134곳) 오프라인 길 안내 · 폰·태블릿·키오스크 실조작 검증 · 복지관 현장 시연 및 당사자 평가</w:t>
            </w:r>
          </w:p>
        </w:tc>
      </w:tr>
    </w:tbl>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휴먼명조" w:hAnsi="휴먼명조" w:eastAsia="휴먼명조"/>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