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BioDT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2024-02-23</w:t>
      </w:r>
    </w:p>
    <w:bookmarkStart w:id="36" w:name="overview"/>
    <w:p>
      <w:pPr>
        <w:pStyle w:val="Heading2"/>
      </w:pPr>
      <w:r>
        <w:t xml:space="preserve">Overview</w:t>
      </w:r>
    </w:p>
    <w:bookmarkStart w:id="22" w:name="authorship"/>
    <w:p>
      <w:pPr>
        <w:pStyle w:val="Heading4"/>
      </w:pPr>
      <w:r>
        <w:t xml:space="preserve">Authorship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simrol@ceh.ac.uk</w:t>
        </w:r>
      </w:hyperlink>
      <w:r>
        <w:t xml:space="preserve">;</w:t>
      </w:r>
      <w:r>
        <w:t xml:space="preserve"> </w:t>
      </w:r>
      <w:hyperlink r:id="rId21">
        <w:r>
          <w:rPr>
            <w:rStyle w:val="Hyperlink"/>
          </w:rPr>
          <w:t xml:space="preserve">dylcar@ceh.ac.uk</w:t>
        </w:r>
      </w:hyperlink>
    </w:p>
    <w:p>
      <w:pPr>
        <w:pStyle w:val="BodyText"/>
      </w:pPr>
      <w:r>
        <w:t xml:space="preserve">&lt;Study link&gt;</w:t>
      </w:r>
      <w:r>
        <w:t xml:space="preserve"> </w:t>
      </w:r>
    </w:p>
    <w:bookmarkEnd w:id="22"/>
    <w:bookmarkStart w:id="23" w:name="model-objective"/>
    <w:p>
      <w:pPr>
        <w:pStyle w:val="Heading4"/>
      </w:pPr>
      <w:r>
        <w:t xml:space="preserve">Model objective</w:t>
      </w:r>
    </w:p>
    <w:p>
      <w:pPr>
        <w:pStyle w:val="FirstParagraph"/>
      </w:pPr>
      <w:r>
        <w:t xml:space="preserve">Model objective: Mapping and interpolation</w:t>
      </w:r>
    </w:p>
    <w:p>
      <w:pPr>
        <w:pStyle w:val="BodyText"/>
      </w:pPr>
      <w:r>
        <w:t xml:space="preserve">Target output: Maps of species presence</w:t>
      </w:r>
    </w:p>
    <w:bookmarkEnd w:id="23"/>
    <w:bookmarkStart w:id="24" w:name="focal-taxon"/>
    <w:p>
      <w:pPr>
        <w:pStyle w:val="Heading4"/>
      </w:pPr>
      <w:r>
        <w:t xml:space="preserve">Focal Taxon</w:t>
      </w:r>
    </w:p>
    <w:p>
      <w:pPr>
        <w:pStyle w:val="FirstParagraph"/>
      </w:pPr>
      <w:r>
        <w:t xml:space="preserve">Focal Taxon: Linnaea borealis L.</w:t>
      </w:r>
    </w:p>
    <w:bookmarkEnd w:id="24"/>
    <w:bookmarkStart w:id="25" w:name="location"/>
    <w:p>
      <w:pPr>
        <w:pStyle w:val="Heading4"/>
      </w:pPr>
      <w:r>
        <w:t xml:space="preserve">Location</w:t>
      </w:r>
    </w:p>
    <w:p>
      <w:pPr>
        <w:pStyle w:val="FirstParagraph"/>
      </w:pPr>
      <w:r>
        <w:t xml:space="preserve">Location: Cairngorms National Park, United Kingdom</w:t>
      </w:r>
    </w:p>
    <w:bookmarkEnd w:id="25"/>
    <w:bookmarkStart w:id="27" w:name="scale-of-analysis"/>
    <w:p>
      <w:pPr>
        <w:pStyle w:val="Heading4"/>
      </w:pPr>
      <w:r>
        <w:t xml:space="preserve">Scale of Analysis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226"/>
        <w:gridCol w:w="46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 name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Cairngorms National Park, United Kingdom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-4.47763888888889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-2.79986111111111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56.7401388888889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57.4134722222222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resolution (Metres)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resolution to the analysis</w:t>
            </w:r>
          </w:p>
        </w:tc>
      </w:tr>
    </w:tbl>
    <w:bookmarkEnd w:id="27"/>
    <w:bookmarkStart w:id="28" w:name="biodiversity-data"/>
    <w:p>
      <w:pPr>
        <w:pStyle w:val="Heading4"/>
      </w:pPr>
      <w:r>
        <w:t xml:space="preserve">Biodiversity data</w:t>
      </w:r>
    </w:p>
    <w:p>
      <w:pPr>
        <w:pStyle w:val="FirstParagraph"/>
      </w:pPr>
      <w:r>
        <w:t xml:space="preserve">Observation type: citizen science; field survey</w:t>
      </w:r>
    </w:p>
    <w:p>
      <w:pPr>
        <w:pStyle w:val="BodyText"/>
      </w:pPr>
      <w:r>
        <w:t xml:space="preserve">Response data type: point occurrence</w:t>
      </w:r>
    </w:p>
    <w:bookmarkEnd w:id="28"/>
    <w:bookmarkStart w:id="29" w:name="predictors"/>
    <w:p>
      <w:pPr>
        <w:pStyle w:val="Heading4"/>
      </w:pPr>
      <w:r>
        <w:t xml:space="preserve">Predictors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29"/>
    <w:bookmarkStart w:id="30" w:name="hypotheses"/>
    <w:p>
      <w:pPr>
        <w:pStyle w:val="Heading4"/>
      </w:pPr>
      <w:r>
        <w:t xml:space="preserve">Hypotheses</w:t>
      </w:r>
    </w:p>
    <w:p>
      <w:pPr>
        <w:pStyle w:val="FirstParagraph"/>
      </w:pPr>
      <w:r>
        <w:t xml:space="preserve">Hypotheses: investigating how environment variables affect the distributions of the species, Linnaea borealis L. in the Cairngorms National Park</w:t>
      </w:r>
    </w:p>
    <w:bookmarkEnd w:id="30"/>
    <w:bookmarkStart w:id="31" w:name="assumptions"/>
    <w:p>
      <w:pPr>
        <w:pStyle w:val="Heading4"/>
      </w:pPr>
      <w:r>
        <w:t xml:space="preserve">Assumptions</w:t>
      </w:r>
    </w:p>
    <w:p>
      <w:pPr>
        <w:pStyle w:val="FirstParagraph"/>
      </w:pPr>
      <w:r>
        <w:t xml:space="preserve">Model assumptions: glm; svm; gaussian process model</w:t>
      </w:r>
    </w:p>
    <w:bookmarkEnd w:id="31"/>
    <w:bookmarkStart w:id="32" w:name="algorithms"/>
    <w:p>
      <w:pPr>
        <w:pStyle w:val="Heading4"/>
      </w:pPr>
      <w:r>
        <w:t xml:space="preserve">Algorithms</w:t>
      </w:r>
    </w:p>
    <w:p>
      <w:pPr>
        <w:pStyle w:val="FirstParagraph"/>
      </w:pPr>
      <w:r>
        <w:t xml:space="preserve">&lt;Modelling techniques&gt;</w:t>
      </w:r>
      <w:r>
        <w:t xml:space="preserve"> </w:t>
      </w:r>
    </w:p>
    <w:p>
      <w:pPr>
        <w:pStyle w:val="BodyText"/>
      </w:pPr>
      <w:r>
        <w:t xml:space="preserve">&lt;Model complexity&gt;</w:t>
      </w:r>
      <w:r>
        <w:t xml:space="preserve"> </w:t>
      </w:r>
    </w:p>
    <w:p>
      <w:pPr>
        <w:pStyle w:val="BodyText"/>
      </w:pPr>
      <w:r>
        <w:t xml:space="preserve">&lt;Model averaging&gt;</w:t>
      </w:r>
      <w:r>
        <w:t xml:space="preserve"> </w:t>
      </w:r>
    </w:p>
    <w:bookmarkEnd w:id="32"/>
    <w:bookmarkStart w:id="33" w:name="workflow"/>
    <w:p>
      <w:pPr>
        <w:pStyle w:val="Heading4"/>
      </w:pPr>
      <w:r>
        <w:t xml:space="preserve">Workflow</w:t>
      </w:r>
    </w:p>
    <w:p>
      <w:pPr>
        <w:pStyle w:val="FirstParagraph"/>
      </w:pPr>
      <w:r>
        <w:t xml:space="preserve">Model workflow: Pulled data from GBIF, conducts data thinning, fits model, and builds ensemble from models and predicts in space.</w:t>
      </w:r>
    </w:p>
    <w:bookmarkEnd w:id="33"/>
    <w:bookmarkStart w:id="35" w:name="software"/>
    <w:p>
      <w:pPr>
        <w:pStyle w:val="Heading4"/>
      </w:pPr>
      <w:r>
        <w:t xml:space="preserve">Software</w:t>
      </w:r>
    </w:p>
    <w:p>
      <w:pPr>
        <w:pStyle w:val="FirstParagraph"/>
      </w:pPr>
      <w:r>
        <w:t xml:space="preserve">Software: Written using R version 4.3.1 (2023-06-16 ucrt) with packages, rangeModelMetadata version 0.1.4</w:t>
      </w:r>
    </w:p>
    <w:p>
      <w:pPr>
        <w:pStyle w:val="BodyText"/>
      </w:pPr>
      <w:r>
        <w:t xml:space="preserve">lubridate version 1.9.2</w:t>
      </w:r>
    </w:p>
    <w:p>
      <w:pPr>
        <w:pStyle w:val="BodyText"/>
      </w:pPr>
      <w:r>
        <w:t xml:space="preserve">forcats version 1.0.0</w:t>
      </w:r>
    </w:p>
    <w:p>
      <w:pPr>
        <w:pStyle w:val="BodyText"/>
      </w:pPr>
      <w:r>
        <w:t xml:space="preserve">stringr version 1.5.1</w:t>
      </w:r>
    </w:p>
    <w:p>
      <w:pPr>
        <w:pStyle w:val="BodyText"/>
      </w:pPr>
      <w:r>
        <w:t xml:space="preserve">purrr version 1.0.2</w:t>
      </w:r>
    </w:p>
    <w:p>
      <w:pPr>
        <w:pStyle w:val="BodyText"/>
      </w:pPr>
      <w:r>
        <w:t xml:space="preserve">tidyr version 1.3.0</w:t>
      </w:r>
    </w:p>
    <w:p>
      <w:pPr>
        <w:pStyle w:val="BodyText"/>
      </w:pPr>
      <w:r>
        <w:t xml:space="preserve">tibble version 3.2.1</w:t>
      </w:r>
    </w:p>
    <w:p>
      <w:pPr>
        <w:pStyle w:val="BodyText"/>
      </w:pPr>
      <w:r>
        <w:t xml:space="preserve">ggplot2 version 3.4.4</w:t>
      </w:r>
    </w:p>
    <w:p>
      <w:pPr>
        <w:pStyle w:val="BodyText"/>
      </w:pPr>
      <w:r>
        <w:t xml:space="preserve">tidyverse version 2.0.0</w:t>
      </w:r>
    </w:p>
    <w:p>
      <w:pPr>
        <w:pStyle w:val="BodyText"/>
      </w:pPr>
      <w:r>
        <w:t xml:space="preserve">DT version 0.32</w:t>
      </w:r>
    </w:p>
    <w:p>
      <w:pPr>
        <w:pStyle w:val="BodyText"/>
      </w:pPr>
      <w:r>
        <w:t xml:space="preserve">readr version 2.1.4</w:t>
      </w:r>
    </w:p>
    <w:p>
      <w:pPr>
        <w:pStyle w:val="BodyText"/>
      </w:pPr>
      <w:r>
        <w:t xml:space="preserve">rmarkdown version 2.25</w:t>
      </w:r>
    </w:p>
    <w:p>
      <w:pPr>
        <w:pStyle w:val="BodyText"/>
      </w:pPr>
      <w:r>
        <w:t xml:space="preserve">dplyr version 1.1.4</w:t>
      </w:r>
    </w:p>
    <w:p>
      <w:pPr>
        <w:pStyle w:val="BodyText"/>
      </w:pPr>
      <w:r>
        <w:t xml:space="preserve">spThin version 0.2.0</w:t>
      </w:r>
    </w:p>
    <w:p>
      <w:pPr>
        <w:pStyle w:val="BodyText"/>
      </w:pPr>
      <w:r>
        <w:t xml:space="preserve">knitr version 1.45</w:t>
      </w:r>
    </w:p>
    <w:p>
      <w:pPr>
        <w:pStyle w:val="BodyText"/>
      </w:pPr>
      <w:r>
        <w:t xml:space="preserve">fields version 15.2</w:t>
      </w:r>
    </w:p>
    <w:p>
      <w:pPr>
        <w:pStyle w:val="BodyText"/>
      </w:pPr>
      <w:r>
        <w:t xml:space="preserve">viridisLite version 0.4.2</w:t>
      </w:r>
    </w:p>
    <w:p>
      <w:pPr>
        <w:pStyle w:val="BodyText"/>
      </w:pPr>
      <w:r>
        <w:t xml:space="preserve">spam version 2.10-0</w:t>
      </w:r>
    </w:p>
    <w:p>
      <w:pPr>
        <w:pStyle w:val="BodyText"/>
      </w:pPr>
      <w:r>
        <w:t xml:space="preserve">rgbif version 3.7.7</w:t>
      </w:r>
    </w:p>
    <w:p>
      <w:pPr>
        <w:pStyle w:val="BodyText"/>
      </w:pPr>
      <w:r>
        <w:t xml:space="preserve">flexsdm version 1.3.3</w:t>
      </w:r>
    </w:p>
    <w:p>
      <w:pPr>
        <w:pStyle w:val="BodyText"/>
      </w:pPr>
      <w:r>
        <w:t xml:space="preserve">sf version 1.0-14</w:t>
      </w:r>
    </w:p>
    <w:p>
      <w:pPr>
        <w:pStyle w:val="BodyText"/>
      </w:pPr>
      <w:r>
        <w:t xml:space="preserve">terra version 1.7-39</w:t>
      </w:r>
    </w:p>
    <w:p>
      <w:pPr>
        <w:pStyle w:val="BodyText"/>
      </w:pPr>
      <w:r>
        <w:t xml:space="preserve">devtools version 2.4.5</w:t>
      </w:r>
    </w:p>
    <w:p>
      <w:pPr>
        <w:pStyle w:val="BodyText"/>
      </w:pPr>
      <w:r>
        <w:t xml:space="preserve">usethis version 2.2.3</w:t>
      </w:r>
    </w:p>
    <w:p>
      <w:pPr>
        <w:pStyle w:val="BodyText"/>
      </w:pPr>
      <w:r>
        <w:t xml:space="preserve">Code availability:</w:t>
      </w:r>
      <w:r>
        <w:t xml:space="preserve"> </w:t>
      </w:r>
      <w:hyperlink r:id="rId34">
        <w:r>
          <w:rPr>
            <w:rStyle w:val="Hyperlink"/>
          </w:rPr>
          <w:t xml:space="preserve">https://github.com/BioDT/uc-ces/tree/main/biodiversity_model</w:t>
        </w:r>
      </w:hyperlink>
    </w:p>
    <w:p>
      <w:pPr>
        <w:pStyle w:val="BodyText"/>
      </w:pPr>
      <w:r>
        <w:t xml:space="preserve">Data availability: data obtained from GBIF API with DOI: 50c9509d-22c7-4a22-a47d-8c48425ef4a7 data obtained from GBIF API with DOI: 7a3679ef-5582-4aaa-81f0-8c2545cafc81 data obtained from GBIF API with DOI: 0a013f89-5381-4578-9d82-5f28fd5f1ef6 data obtained from GBIF API with DOI: 14d5676a-2c54-4f94-9023-1e8dcd822aa0 data obtained from GBIF API with DOI: 8a863029-f435-446a-821e-275f4f641165 data obtained from GBIF API with DOI: efb3f1a0-43d5-4ae6-a58f-4fd61043756a data obtained from GBIF API with DOI: 53f13c8f-413e-4537-bda6-98666cd7975f data obtained from GBIF API with DOI: 86d0b5c1-804c-4b98-8104-adeb1bff43c4 data obtained from GBIF API with DOI: 8ef95309-811f-4c3b-a329-a85368e774c9 data obtained from GBIF API with DOI: 0a7c5a4e-db9b-4349-a793-ef4b3ef9e025 data obtained from GBIF API with DOI: 887e6209-ea70-46a7-9652-fc94ca97ae0a data obtained from GBIF API with DOI: 6f86b84a-4a96-4c56-905c-3bfdd6ca9023</w:t>
      </w:r>
    </w:p>
    <w:bookmarkEnd w:id="35"/>
    <w:bookmarkEnd w:id="36"/>
    <w:bookmarkStart w:id="41" w:name="data"/>
    <w:p>
      <w:pPr>
        <w:pStyle w:val="Heading2"/>
      </w:pPr>
      <w:r>
        <w:t xml:space="preserve">Data</w:t>
      </w:r>
    </w:p>
    <w:bookmarkStart w:id="37" w:name="biodiversity-data-1"/>
    <w:p>
      <w:pPr>
        <w:pStyle w:val="Heading4"/>
      </w:pPr>
      <w:r>
        <w:t xml:space="preserve">Biodiversity data</w:t>
      </w:r>
    </w:p>
    <w:p>
      <w:pPr>
        <w:pStyle w:val="FirstParagraph"/>
      </w:pPr>
      <w:r>
        <w:t xml:space="preserve">Taxon names: species: Linnaea borealis L., phylum: Tracheophyta, order: Dipsacales, family: Caprifoliaceae</w:t>
      </w:r>
    </w:p>
    <w:p>
      <w:pPr>
        <w:pStyle w:val="BodyText"/>
      </w:pPr>
      <w:r>
        <w:t xml:space="preserve">Taxonomic reference system: GBIF taxonomic backbone</w:t>
      </w:r>
    </w:p>
    <w:p>
      <w:pPr>
        <w:pStyle w:val="BodyText"/>
      </w:pPr>
      <w:r>
        <w:t xml:space="preserve">Ecological level: species</w:t>
      </w:r>
    </w:p>
    <w:p>
      <w:pPr>
        <w:pStyle w:val="BodyText"/>
      </w:pPr>
      <w:r>
        <w:t xml:space="preserve">Data sources: data obtained from GBIF API with DOI: 50c9509d-22c7-4a22-a47d-8c48425ef4a7 accessed at: 2024-02-23 14:16:34</w:t>
      </w:r>
    </w:p>
    <w:p>
      <w:pPr>
        <w:pStyle w:val="BodyText"/>
      </w:pPr>
      <w:r>
        <w:t xml:space="preserve">data obtained from GBIF API with DOI: 7a3679ef-5582-4aaa-81f0-8c2545cafc81 accessed at: 2024-02-23 14:16:34</w:t>
      </w:r>
    </w:p>
    <w:p>
      <w:pPr>
        <w:pStyle w:val="BodyText"/>
      </w:pPr>
      <w:r>
        <w:t xml:space="preserve">data obtained from GBIF API with DOI: 0a013f89-5381-4578-9d82-5f28fd5f1ef6 accessed at: 2024-02-23 14:16:34</w:t>
      </w:r>
    </w:p>
    <w:p>
      <w:pPr>
        <w:pStyle w:val="BodyText"/>
      </w:pPr>
      <w:r>
        <w:t xml:space="preserve">data obtained from GBIF API with DOI: 14d5676a-2c54-4f94-9023-1e8dcd822aa0 accessed at: 2024-02-23 14:16:34</w:t>
      </w:r>
    </w:p>
    <w:p>
      <w:pPr>
        <w:pStyle w:val="BodyText"/>
      </w:pPr>
      <w:r>
        <w:t xml:space="preserve">data obtained from GBIF API with DOI: 8a863029-f435-446a-821e-275f4f641165 accessed at: 2024-02-23 14:16:34</w:t>
      </w:r>
    </w:p>
    <w:p>
      <w:pPr>
        <w:pStyle w:val="BodyText"/>
      </w:pPr>
      <w:r>
        <w:t xml:space="preserve">data obtained from GBIF API with DOI: efb3f1a0-43d5-4ae6-a58f-4fd61043756a accessed at: 2024-02-23 14:16:34</w:t>
      </w:r>
    </w:p>
    <w:p>
      <w:pPr>
        <w:pStyle w:val="BodyText"/>
      </w:pPr>
      <w:r>
        <w:t xml:space="preserve">data obtained from GBIF API with DOI: 53f13c8f-413e-4537-bda6-98666cd7975f accessed at: 2024-02-23 14:16:34</w:t>
      </w:r>
    </w:p>
    <w:p>
      <w:pPr>
        <w:pStyle w:val="BodyText"/>
      </w:pPr>
      <w:r>
        <w:t xml:space="preserve">data obtained from GBIF API with DOI: 86d0b5c1-804c-4b98-8104-adeb1bff43c4 accessed at: 2024-02-23 14:16:34</w:t>
      </w:r>
    </w:p>
    <w:p>
      <w:pPr>
        <w:pStyle w:val="BodyText"/>
      </w:pPr>
      <w:r>
        <w:t xml:space="preserve">data obtained from GBIF API with DOI: 8ef95309-811f-4c3b-a329-a85368e774c9 accessed at: 2024-02-23 14:16:34</w:t>
      </w:r>
    </w:p>
    <w:p>
      <w:pPr>
        <w:pStyle w:val="BodyText"/>
      </w:pPr>
      <w:r>
        <w:t xml:space="preserve">data obtained from GBIF API with DOI: 0a7c5a4e-db9b-4349-a793-ef4b3ef9e025 accessed at: 2024-02-23 14:16:34</w:t>
      </w:r>
    </w:p>
    <w:p>
      <w:pPr>
        <w:pStyle w:val="BodyText"/>
      </w:pPr>
      <w:r>
        <w:t xml:space="preserve">data obtained from GBIF API with DOI: 887e6209-ea70-46a7-9652-fc94ca97ae0a accessed at: 2024-02-23 14:16:34</w:t>
      </w:r>
    </w:p>
    <w:p>
      <w:pPr>
        <w:pStyle w:val="BodyText"/>
      </w:pPr>
      <w:r>
        <w:t xml:space="preserve">data obtained from GBIF API with DOI: 6f86b84a-4a96-4c56-905c-3bfdd6ca9023 accessed at: 2024-02-23 14:16:34</w:t>
      </w:r>
    </w:p>
    <w:p>
      <w:pPr>
        <w:pStyle w:val="BodyText"/>
      </w:pPr>
      <w:r>
        <w:t xml:space="preserve">Sampling design: opportunistic data</w:t>
      </w:r>
    </w:p>
    <w:p>
      <w:pPr>
        <w:pStyle w:val="BodyText"/>
      </w:pPr>
      <w:r>
        <w:t xml:space="preserve">Sample size: species: Linnaea borealis L., sample size = 970</w:t>
      </w:r>
    </w:p>
    <w:p>
      <w:pPr>
        <w:pStyle w:val="BodyText"/>
      </w:pPr>
      <w:r>
        <w:t xml:space="preserve">Clipping: No mask was used</w:t>
      </w:r>
    </w:p>
    <w:p>
      <w:pPr>
        <w:pStyle w:val="BodyText"/>
      </w:pPr>
      <w:r>
        <w:t xml:space="preserve">Scaling: spatial thinning: TRUE Thins occurrences based on environmental space, with function occfilt_env()</w:t>
      </w:r>
    </w:p>
    <w:p>
      <w:pPr>
        <w:pStyle w:val="BodyText"/>
      </w:pPr>
      <w:r>
        <w:t xml:space="preserve">temporal thinning: FALSE</w:t>
      </w:r>
    </w:p>
    <w:p>
      <w:pPr>
        <w:pStyle w:val="BodyText"/>
      </w:pPr>
      <w:r>
        <w:t xml:space="preserve">Cleaning: no cleaning/filtering steps</w:t>
      </w:r>
    </w:p>
    <w:p>
      <w:pPr>
        <w:pStyle w:val="BodyText"/>
      </w:pPr>
      <w:r>
        <w:t xml:space="preserve">Absence data: not applicable</w:t>
      </w:r>
    </w:p>
    <w:p>
      <w:pPr>
        <w:pStyle w:val="BodyText"/>
      </w:pPr>
      <w:r>
        <w:t xml:space="preserve">Background data: Species occurences plotted for only species: Linnaea borealis L.</w:t>
      </w:r>
    </w:p>
    <w:p>
      <w:pPr>
        <w:pStyle w:val="BodyText"/>
      </w:pPr>
      <w:r>
        <w:t xml:space="preserve">Spatial buffer: TRUE spatial buffer established with function calib_area()</w:t>
      </w:r>
    </w:p>
    <w:bookmarkEnd w:id="37"/>
    <w:bookmarkStart w:id="38" w:name="data-partitioning"/>
    <w:p>
      <w:pPr>
        <w:pStyle w:val="Heading4"/>
      </w:pPr>
      <w:r>
        <w:t xml:space="preserve">Data partitioning</w:t>
      </w:r>
    </w:p>
    <w:p>
      <w:pPr>
        <w:pStyle w:val="FirstParagraph"/>
      </w:pPr>
      <w:r>
        <w:t xml:space="preserve">Training data: random_partitioning: TRUE</w:t>
      </w:r>
    </w:p>
    <w:p>
      <w:pPr>
        <w:pStyle w:val="BodyText"/>
      </w:pPr>
      <w:r>
        <w:t xml:space="preserve">conducted automatically in flexsdm using 4 fold random partitioning</w:t>
      </w:r>
    </w:p>
    <w:p>
      <w:pPr>
        <w:pStyle w:val="BodyText"/>
      </w:pPr>
      <w:r>
        <w:t xml:space="preserve">Validation data: we calculate TSS, the threshold at which sensitivity and specificity are equal, as the performance metric used for selecting the best combination of hyper-parameter values in the tuned Maximum Entropy model.</w:t>
      </w:r>
    </w:p>
    <w:p>
      <w:pPr>
        <w:pStyle w:val="BodyText"/>
      </w:pPr>
      <w:r>
        <w:t xml:space="preserve">Test data: random_partitioning: TRUE</w:t>
      </w:r>
    </w:p>
    <w:p>
      <w:pPr>
        <w:pStyle w:val="BodyText"/>
      </w:pPr>
      <w:r>
        <w:t xml:space="preserve">conducted automatically in flexsdm using 4 fold random partitioning</w:t>
      </w:r>
    </w:p>
    <w:bookmarkEnd w:id="38"/>
    <w:bookmarkStart w:id="39" w:name="predictor-variables"/>
    <w:p>
      <w:pPr>
        <w:pStyle w:val="Heading4"/>
      </w:pPr>
      <w:r>
        <w:t xml:space="preserve">Predictor variables</w:t>
      </w:r>
    </w:p>
    <w:p>
      <w:pPr>
        <w:pStyle w:val="FirstParagraph"/>
      </w:pPr>
      <w:r>
        <w:t xml:space="preserve">Predictor variables: 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p>
      <w:pPr>
        <w:pStyle w:val="BodyText"/>
      </w:pPr>
      <w:r>
        <w:t xml:space="preserve">Data sources: Google earth engine</w:t>
      </w:r>
    </w:p>
    <w:p>
      <w:pPr>
        <w:pStyle w:val="BodyText"/>
      </w:pPr>
      <w:r>
        <w:t xml:space="preserve">Spatial extent: -4.47763888888889, -2.79986111111111, 56.7401388888889, 57.4134722222222 (xmin, xmax, ymin, ymax)</w:t>
      </w:r>
    </w:p>
    <w:p>
      <w:pPr>
        <w:pStyle w:val="BodyText"/>
      </w:pPr>
      <w:r>
        <w:t xml:space="preserve">Spatial resolution: 0.1 km</w:t>
      </w:r>
    </w:p>
    <w:p>
      <w:pPr>
        <w:pStyle w:val="BodyText"/>
      </w:pPr>
      <w:r>
        <w:t xml:space="preserve">Coordinate reference system: WGS 84</w:t>
      </w:r>
    </w:p>
    <w:p>
      <w:pPr>
        <w:pStyle w:val="BodyText"/>
      </w:pPr>
      <w:r>
        <w:t xml:space="preserve">Temporal extent: No temporal extent</w:t>
      </w:r>
    </w:p>
    <w:p>
      <w:pPr>
        <w:pStyle w:val="BodyText"/>
      </w:pPr>
      <w:r>
        <w:t xml:space="preserve">Temporal resolution: No temporal resolution</w:t>
      </w:r>
    </w:p>
    <w:p>
      <w:pPr>
        <w:pStyle w:val="BodyText"/>
      </w:pPr>
      <w:r>
        <w:t xml:space="preserve">Data processing: no upscaling/downscaling</w:t>
      </w:r>
    </w:p>
    <w:bookmarkEnd w:id="39"/>
    <w:bookmarkStart w:id="40" w:name="transfer-data"/>
    <w:p>
      <w:pPr>
        <w:pStyle w:val="Heading4"/>
      </w:pPr>
      <w:r>
        <w:t xml:space="preserve">Transfer data</w:t>
      </w:r>
    </w:p>
    <w:p>
      <w:pPr>
        <w:pStyle w:val="FirstParagraph"/>
      </w:pPr>
      <w:r>
        <w:t xml:space="preserve">Data sources: random_partitioning: TRUE</w:t>
      </w:r>
    </w:p>
    <w:p>
      <w:pPr>
        <w:pStyle w:val="BodyText"/>
      </w:pPr>
      <w:r>
        <w:t xml:space="preserve">Model was validated using only 4 fold random partitioning</w:t>
      </w:r>
    </w:p>
    <w:p>
      <w:pPr>
        <w:pStyle w:val="BodyText"/>
      </w:pPr>
      <w:r>
        <w:t xml:space="preserve">&lt;Spatial extent&gt;</w:t>
      </w:r>
      <w:r>
        <w:t xml:space="preserve"> </w:t>
      </w:r>
    </w:p>
    <w:p>
      <w:pPr>
        <w:pStyle w:val="BodyText"/>
      </w:pPr>
      <w:r>
        <w:t xml:space="preserve">Spatial resolution: Not applicable</w:t>
      </w:r>
    </w:p>
    <w:p>
      <w:pPr>
        <w:pStyle w:val="BodyText"/>
      </w:pPr>
      <w:r>
        <w:t xml:space="preserve">Temporal extent: Not applicable</w:t>
      </w:r>
    </w:p>
    <w:p>
      <w:pPr>
        <w:pStyle w:val="BodyText"/>
      </w:pPr>
      <w:r>
        <w:t xml:space="preserve">Temporal resolution: Not applicable</w:t>
      </w:r>
    </w:p>
    <w:p>
      <w:pPr>
        <w:pStyle w:val="BodyText"/>
      </w:pPr>
      <w:r>
        <w:t xml:space="preserve">Models and scenarios: Not applicable</w:t>
      </w:r>
    </w:p>
    <w:p>
      <w:pPr>
        <w:pStyle w:val="BodyText"/>
      </w:pPr>
      <w:r>
        <w:t xml:space="preserve">Data processing: Not applicable</w:t>
      </w:r>
    </w:p>
    <w:p>
      <w:pPr>
        <w:pStyle w:val="BodyText"/>
      </w:pPr>
      <w:r>
        <w:t xml:space="preserve">Quantification of Novelty: Not applicable</w:t>
      </w:r>
    </w:p>
    <w:bookmarkEnd w:id="40"/>
    <w:bookmarkEnd w:id="41"/>
    <w:bookmarkStart w:id="49" w:name="model"/>
    <w:p>
      <w:pPr>
        <w:pStyle w:val="Heading2"/>
      </w:pPr>
      <w:r>
        <w:t xml:space="preserve">Model</w:t>
      </w:r>
    </w:p>
    <w:bookmarkStart w:id="42" w:name="variable-pre-selection"/>
    <w:p>
      <w:pPr>
        <w:pStyle w:val="Heading4"/>
      </w:pPr>
      <w:r>
        <w:t xml:space="preserve">Variable pre-selection</w:t>
      </w:r>
    </w:p>
    <w:p>
      <w:pPr>
        <w:pStyle w:val="FirstParagraph"/>
      </w:pPr>
      <w:r>
        <w:t xml:space="preserve">Variable pre-selection: Not applicable</w:t>
      </w:r>
    </w:p>
    <w:bookmarkEnd w:id="42"/>
    <w:bookmarkStart w:id="43" w:name="multicollinearity"/>
    <w:p>
      <w:pPr>
        <w:pStyle w:val="Heading4"/>
      </w:pPr>
      <w:r>
        <w:t xml:space="preserve">Multicollinearity</w:t>
      </w:r>
    </w:p>
    <w:p>
      <w:pPr>
        <w:pStyle w:val="FirstParagraph"/>
      </w:pPr>
      <w:r>
        <w:t xml:space="preserve">Multicollinearity: No methods used to handle collinearity</w:t>
      </w:r>
    </w:p>
    <w:bookmarkEnd w:id="43"/>
    <w:bookmarkStart w:id="44" w:name="model-settings"/>
    <w:p>
      <w:pPr>
        <w:pStyle w:val="Heading4"/>
      </w:pPr>
      <w:r>
        <w:t xml:space="preserve">Model settings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86"/>
        <w:gridCol w:w="186"/>
        <w:gridCol w:w="7256"/>
        <w:gridCol w:w="165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Model settings (extrapolation): Not applicable</w:t>
      </w:r>
    </w:p>
    <w:bookmarkEnd w:id="44"/>
    <w:bookmarkStart w:id="45" w:name="model-estimates"/>
    <w:p>
      <w:pPr>
        <w:pStyle w:val="Heading4"/>
      </w:pPr>
      <w:r>
        <w:t xml:space="preserve">Model estimates</w:t>
      </w:r>
    </w:p>
    <w:p>
      <w:pPr>
        <w:pStyle w:val="FirstParagraph"/>
      </w:pPr>
      <w:r>
        <w:t xml:space="preserve">Coefficients: Not applicable</w:t>
      </w:r>
    </w:p>
    <w:p>
      <w:pPr>
        <w:pStyle w:val="BodyText"/>
      </w:pPr>
      <w:r>
        <w:t xml:space="preserve">Parameter uncertainty: No quantification</w:t>
      </w:r>
    </w:p>
    <w:p>
      <w:pPr>
        <w:pStyle w:val="BodyText"/>
      </w:pPr>
      <w:r>
        <w:t xml:space="preserve">Variable importance: No assessment</w:t>
      </w:r>
    </w:p>
    <w:bookmarkEnd w:id="45"/>
    <w:bookmarkStart w:id="46" w:name="Xd948928830bb469d35f82624be84ff8cca095a2"/>
    <w:p>
      <w:pPr>
        <w:pStyle w:val="Heading4"/>
      </w:pPr>
      <w:r>
        <w:t xml:space="preserve">Model selection - model averaging - ensembles</w:t>
      </w:r>
    </w:p>
    <w:p>
      <w:pPr>
        <w:pStyle w:val="FirstParagraph"/>
      </w:pPr>
      <w:r>
        <w:t xml:space="preserve">Model selection: We included all environment variables recorded in a raster spanning the Cairngorms, Scotland.</w:t>
      </w:r>
    </w:p>
    <w:p>
      <w:pPr>
        <w:pStyle w:val="BodyText"/>
      </w:pPr>
      <w:r>
        <w:t xml:space="preserve">Model averaging: No variable weights were used.</w:t>
      </w:r>
    </w:p>
    <w:p>
      <w:pPr>
        <w:pStyle w:val="BodyText"/>
      </w:pPr>
      <w:r>
        <w:t xml:space="preserve">Model ensembles: Occurences obtained from the Global Biodiversity Information Facility (GBIF), with pseudo replication of absences. See model settings table for model classes and parameters.</w:t>
      </w:r>
    </w:p>
    <w:bookmarkEnd w:id="46"/>
    <w:bookmarkStart w:id="47" w:name="X5c1427db9acead6af5f4279611b77f5736db087"/>
    <w:p>
      <w:pPr>
        <w:pStyle w:val="Heading4"/>
      </w:pPr>
      <w:r>
        <w:t xml:space="preserve">Analysis and Correction of non-independence</w:t>
      </w:r>
    </w:p>
    <w:p>
      <w:pPr>
        <w:pStyle w:val="FirstParagraph"/>
      </w:pPr>
      <w:r>
        <w:t xml:space="preserve">Spatial autocorrelation: No method.</w:t>
      </w:r>
    </w:p>
    <w:p>
      <w:pPr>
        <w:pStyle w:val="BodyText"/>
      </w:pPr>
      <w:r>
        <w:t xml:space="preserve">Temporal autocorrelation: No method.</w:t>
      </w:r>
    </w:p>
    <w:p>
      <w:pPr>
        <w:pStyle w:val="BodyText"/>
      </w:pPr>
      <w:r>
        <w:t xml:space="preserve">Nested data: No method.</w:t>
      </w:r>
    </w:p>
    <w:bookmarkEnd w:id="47"/>
    <w:bookmarkStart w:id="48" w:name="threshold-selection"/>
    <w:p>
      <w:pPr>
        <w:pStyle w:val="Heading4"/>
      </w:pPr>
      <w:r>
        <w:t xml:space="preserve">Threshold selection</w:t>
      </w:r>
    </w:p>
    <w:p>
      <w:pPr>
        <w:pStyle w:val="FirstParagraph"/>
      </w:pPr>
      <w:r>
        <w:t xml:space="preserve">Threshold selection: For each model, we selected three threshold values to generate binary suitability predictions: the threshold that maximizes TSS (max_sens_spec), the threshold at which sensitivity and specificity are equal (equal_sens_spec), and the threshold at which the Sorenson index is highest (max_sorenson).</w:t>
      </w:r>
    </w:p>
    <w:bookmarkEnd w:id="48"/>
    <w:bookmarkEnd w:id="49"/>
    <w:bookmarkStart w:id="52" w:name="assessment"/>
    <w:p>
      <w:pPr>
        <w:pStyle w:val="Heading2"/>
      </w:pPr>
      <w:r>
        <w:t xml:space="preserve">Assessment</w:t>
      </w:r>
    </w:p>
    <w:bookmarkStart w:id="50" w:name="performance-statistics"/>
    <w:p>
      <w:pPr>
        <w:pStyle w:val="Heading4"/>
      </w:pPr>
      <w:r>
        <w:t xml:space="preserve">Performance statistics</w:t>
      </w:r>
    </w:p>
    <w:p>
      <w:pPr>
        <w:pStyle w:val="FirstParagraph"/>
      </w:pPr>
      <w:r>
        <w:t xml:space="preserve">Performance on training data: No response plots</w:t>
      </w:r>
    </w:p>
    <w:p>
      <w:pPr>
        <w:pStyle w:val="BodyText"/>
      </w:pPr>
      <w:r>
        <w:t xml:space="preserve">Performance on validation data:</w:t>
      </w:r>
    </w:p>
    <w:p>
      <w:pPr>
        <w:pStyle w:val="BodyText"/>
      </w:pPr>
      <w:r>
        <w:t xml:space="preserve">Performance on test data: Not applicable.</w:t>
      </w:r>
    </w:p>
    <w:bookmarkEnd w:id="50"/>
    <w:bookmarkStart w:id="51" w:name="plausibility-check"/>
    <w:p>
      <w:pPr>
        <w:pStyle w:val="Heading4"/>
      </w:pPr>
      <w:r>
        <w:t xml:space="preserve">Plausibility check</w:t>
      </w:r>
    </w:p>
    <w:p>
      <w:pPr>
        <w:pStyle w:val="FirstParagraph"/>
      </w:pPr>
      <w:r>
        <w:t xml:space="preserve">&lt;Response shapes&gt;</w:t>
      </w:r>
      <w:r>
        <w:t xml:space="preserve"> </w:t>
      </w:r>
    </w:p>
    <w:p>
      <w:pPr>
        <w:pStyle w:val="BodyText"/>
      </w:pPr>
      <w:r>
        <w:t xml:space="preserve">&lt;Expert judgement&gt;</w:t>
      </w:r>
      <w:r>
        <w:t xml:space="preserve"> </w:t>
      </w:r>
    </w:p>
    <w:bookmarkEnd w:id="51"/>
    <w:bookmarkEnd w:id="52"/>
    <w:bookmarkStart w:id="55" w:name="prediction"/>
    <w:p>
      <w:pPr>
        <w:pStyle w:val="Heading2"/>
      </w:pPr>
      <w:r>
        <w:t xml:space="preserve">Prediction</w:t>
      </w:r>
    </w:p>
    <w:bookmarkStart w:id="53" w:name="prediction-output"/>
    <w:p>
      <w:pPr>
        <w:pStyle w:val="Heading4"/>
      </w:pPr>
      <w:r>
        <w:t xml:space="preserve">Prediction output</w:t>
      </w:r>
    </w:p>
    <w:p>
      <w:pPr>
        <w:pStyle w:val="FirstParagraph"/>
      </w:pPr>
      <w:r>
        <w:t xml:space="preserve">Prediction unit: species proportional occurence.</w:t>
      </w:r>
    </w:p>
    <w:p>
      <w:pPr>
        <w:pStyle w:val="BodyText"/>
      </w:pPr>
      <w:r>
        <w:t xml:space="preserve">Post-processing: Overprediction of SDMs corrected for based on occurrence records and suitability patterns.</w:t>
      </w:r>
    </w:p>
    <w:bookmarkEnd w:id="53"/>
    <w:bookmarkStart w:id="54" w:name="uncertainty-quantification"/>
    <w:p>
      <w:pPr>
        <w:pStyle w:val="Heading4"/>
      </w:pPr>
      <w:r>
        <w:t xml:space="preserve">Uncertainty quantification</w:t>
      </w:r>
    </w:p>
    <w:p>
      <w:pPr>
        <w:pStyle w:val="FirstParagraph"/>
      </w:pPr>
      <w:r>
        <w:t xml:space="preserve">Algorithmic uncertainty: Not applicable.</w:t>
      </w:r>
    </w:p>
    <w:p>
      <w:pPr>
        <w:pStyle w:val="BodyText"/>
      </w:pPr>
      <w:r>
        <w:t xml:space="preserve">Input data uncertainty: Not applicable.</w:t>
      </w:r>
    </w:p>
    <w:p>
      <w:pPr>
        <w:pStyle w:val="BodyText"/>
      </w:pPr>
      <w:r>
        <w:t xml:space="preserve">Parameter uncertainty: Not applicable.</w:t>
      </w:r>
    </w:p>
    <w:p>
      <w:pPr>
        <w:pStyle w:val="BodyText"/>
      </w:pPr>
      <w:r>
        <w:t xml:space="preserve">&lt;Scenario uncertainty&gt;</w:t>
      </w:r>
      <w:r>
        <w:t xml:space="preserve"> </w:t>
      </w:r>
    </w:p>
    <w:p>
      <w:pPr>
        <w:pStyle w:val="BodyText"/>
      </w:pPr>
      <w:r>
        <w:t xml:space="preserve">Novel environments: No visualisation.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airngorms.co.uk/" TargetMode="External" /><Relationship Type="http://schemas.openxmlformats.org/officeDocument/2006/relationships/hyperlink" Id="rId34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airngorms.co.uk/" TargetMode="External" /><Relationship Type="http://schemas.openxmlformats.org/officeDocument/2006/relationships/hyperlink" Id="rId34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dcterms:created xsi:type="dcterms:W3CDTF">2024-02-23T14:16:47Z</dcterms:created>
  <dcterms:modified xsi:type="dcterms:W3CDTF">2024-02-23T14:16:47Z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2024-02-23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