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"/>
        <w:bidi w:val="0"/>
      </w:pPr>
      <w:r>
        <w:tab/>
        <w:tab/>
        <w:tab/>
        <w:tab/>
        <w:tab/>
      </w:r>
      <w:r>
        <w:rPr>
          <w:b w:val="1"/>
          <w:bCs w:val="1"/>
          <w:sz w:val="28"/>
          <w:szCs w:val="28"/>
          <w:u w:val="single"/>
          <w:rtl w:val="0"/>
          <w:lang w:val="fr-FR"/>
        </w:rPr>
        <w:t>RAPPORT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fr-FR"/>
        </w:rPr>
        <w:t>Introduction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Analyse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de biom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trie humaine selon 7 variables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fr-FR"/>
        </w:rPr>
        <w:t xml:space="preserve">But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Analyser et trouver des liens entre ces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sultats.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b w:val="1"/>
          <w:bCs w:val="1"/>
          <w:sz w:val="26"/>
          <w:szCs w:val="26"/>
          <w:rtl w:val="0"/>
          <w:lang w:val="fr-FR"/>
        </w:rPr>
        <w:t>R</w:t>
      </w:r>
      <w:r>
        <w:rPr>
          <w:b w:val="1"/>
          <w:bCs w:val="1"/>
          <w:sz w:val="26"/>
          <w:szCs w:val="26"/>
          <w:rtl w:val="0"/>
          <w:lang w:val="fr-FR"/>
        </w:rPr>
        <w:t>é</w:t>
      </w:r>
      <w:r>
        <w:rPr>
          <w:b w:val="1"/>
          <w:bCs w:val="1"/>
          <w:sz w:val="26"/>
          <w:szCs w:val="26"/>
          <w:rtl w:val="0"/>
          <w:lang w:val="fr-FR"/>
        </w:rPr>
        <w:t>sultat</w:t>
      </w:r>
      <w:r>
        <w:rPr>
          <w:b w:val="1"/>
          <w:bCs w:val="1"/>
          <w:sz w:val="26"/>
          <w:szCs w:val="26"/>
        </w:rPr>
        <w:drawing>
          <wp:anchor distT="0" distB="0" distL="152400" distR="152400" simplePos="0" relativeHeight="251659264" behindDoc="0" locked="0" layoutInCell="1" allowOverlap="1">
            <wp:simplePos x="0" y="0"/>
            <wp:positionH relativeFrom="margin">
              <wp:posOffset>357731</wp:posOffset>
            </wp:positionH>
            <wp:positionV relativeFrom="line">
              <wp:posOffset>762115</wp:posOffset>
            </wp:positionV>
            <wp:extent cx="5415535" cy="4033267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anchor>
        </w:drawing>
      </w:r>
      <w:r>
        <w:rPr>
          <w:rtl w:val="0"/>
          <w:lang w:val="fr-FR"/>
        </w:rPr>
        <w:t xml:space="preserve"> </w:t>
      </w:r>
    </w:p>
    <w:p>
      <w:pPr>
        <w:pStyle w:val="Corps"/>
        <w:bidi w:val="0"/>
      </w:pPr>
      <w:r>
        <w:rPr>
          <w:b w:val="1"/>
          <w:bCs w:val="1"/>
          <w:sz w:val="26"/>
          <w:szCs w:val="26"/>
          <w:rtl w:val="0"/>
          <w:lang w:val="fr-FR"/>
        </w:rPr>
        <w:t>Discussion</w:t>
      </w:r>
      <w:r>
        <w:rPr>
          <w:rtl w:val="0"/>
          <w:lang w:val="fr-FR"/>
        </w:rPr>
        <w:t xml:space="preserve">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Nous observons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y a pas de corr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lations entre la taille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individu et son poids.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dans notre graphique sont trop vastes, il faudrait affiner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en prenant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autres variables en compte.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fr-FR"/>
        </w:rPr>
        <w:t xml:space="preserve">Conclusion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Notre graphique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est pas exploitable.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b w:val="1"/>
          <w:bCs w:val="1"/>
          <w:sz w:val="26"/>
          <w:szCs w:val="26"/>
          <w:rtl w:val="0"/>
          <w:lang w:val="fr-FR"/>
        </w:rPr>
        <w:t>Bibliography</w:t>
      </w:r>
      <w:r>
        <w:rPr>
          <w:rtl w:val="0"/>
          <w:lang w:val="fr-FR"/>
        </w:rPr>
        <w:t xml:space="preserve">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09247"/>
          <c:y val="0.116834"/>
          <c:w val="0.870023"/>
          <c:h val="0.76478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Taille en fonction du poids</c:v>
                </c:pt>
              </c:strCache>
            </c:strRef>
          </c:tx>
          <c:spPr>
            <a:solidFill>
              <a:srgbClr val="FFFFFF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circle"/>
            <c:size val="2"/>
            <c:spPr>
              <a:solidFill>
                <a:srgbClr val="FFFFFF"/>
              </a:solidFill>
              <a:ln w="25400" cap="flat">
                <a:solidFill>
                  <a:schemeClr val="accent1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 Neue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xVal>
            <c:numRef>
              <c:f>Sheet1!$B$2:$B$165</c:f>
              <c:numCache>
                <c:ptCount val="164"/>
                <c:pt idx="0">
                  <c:v>69.000000</c:v>
                </c:pt>
                <c:pt idx="1">
                  <c:v>74.000000</c:v>
                </c:pt>
                <c:pt idx="2">
                  <c:v>83.000000</c:v>
                </c:pt>
                <c:pt idx="3">
                  <c:v>60.000000</c:v>
                </c:pt>
                <c:pt idx="4">
                  <c:v>48.000000</c:v>
                </c:pt>
                <c:pt idx="5">
                  <c:v>52.000000</c:v>
                </c:pt>
                <c:pt idx="6">
                  <c:v>72.000000</c:v>
                </c:pt>
                <c:pt idx="7">
                  <c:v>74.000000</c:v>
                </c:pt>
                <c:pt idx="8">
                  <c:v>110.000000</c:v>
                </c:pt>
                <c:pt idx="9">
                  <c:v>82.000000</c:v>
                </c:pt>
                <c:pt idx="10">
                  <c:v>70.000000</c:v>
                </c:pt>
                <c:pt idx="11">
                  <c:v>61.000000</c:v>
                </c:pt>
                <c:pt idx="12">
                  <c:v>86.000000</c:v>
                </c:pt>
                <c:pt idx="13">
                  <c:v>75.000000</c:v>
                </c:pt>
                <c:pt idx="14">
                  <c:v>64.000000</c:v>
                </c:pt>
                <c:pt idx="15">
                  <c:v>63.000000</c:v>
                </c:pt>
                <c:pt idx="16">
                  <c:v>57.000000</c:v>
                </c:pt>
                <c:pt idx="17">
                  <c:v>90.000000</c:v>
                </c:pt>
                <c:pt idx="18">
                  <c:v>58.000000</c:v>
                </c:pt>
                <c:pt idx="19">
                  <c:v>59.000000</c:v>
                </c:pt>
                <c:pt idx="20">
                  <c:v>60.000000</c:v>
                </c:pt>
                <c:pt idx="21">
                  <c:v>85.000000</c:v>
                </c:pt>
                <c:pt idx="22">
                  <c:v>61.000000</c:v>
                </c:pt>
                <c:pt idx="23">
                  <c:v>59.000000</c:v>
                </c:pt>
                <c:pt idx="24">
                  <c:v>81.000000</c:v>
                </c:pt>
                <c:pt idx="25">
                  <c:v>76.000000</c:v>
                </c:pt>
                <c:pt idx="26">
                  <c:v>61.000000</c:v>
                </c:pt>
                <c:pt idx="27">
                  <c:v>70.000000</c:v>
                </c:pt>
                <c:pt idx="28">
                  <c:v>105.000000</c:v>
                </c:pt>
                <c:pt idx="29">
                  <c:v>105.000000</c:v>
                </c:pt>
                <c:pt idx="30">
                  <c:v>68.000000</c:v>
                </c:pt>
                <c:pt idx="31">
                  <c:v>76.000000</c:v>
                </c:pt>
                <c:pt idx="32">
                  <c:v>57.000000</c:v>
                </c:pt>
                <c:pt idx="33">
                  <c:v>82.000000</c:v>
                </c:pt>
                <c:pt idx="34">
                  <c:v>49.000000</c:v>
                </c:pt>
                <c:pt idx="35">
                  <c:v>73.000000</c:v>
                </c:pt>
                <c:pt idx="36">
                  <c:v>51.000000</c:v>
                </c:pt>
                <c:pt idx="37">
                  <c:v>105.000000</c:v>
                </c:pt>
                <c:pt idx="38">
                  <c:v>55.000000</c:v>
                </c:pt>
                <c:pt idx="39">
                  <c:v>63.000000</c:v>
                </c:pt>
                <c:pt idx="40">
                  <c:v>83.000000</c:v>
                </c:pt>
                <c:pt idx="41">
                  <c:v>79.000000</c:v>
                </c:pt>
                <c:pt idx="42">
                  <c:v>70.000000</c:v>
                </c:pt>
                <c:pt idx="43">
                  <c:v>74.000000</c:v>
                </c:pt>
                <c:pt idx="44">
                  <c:v>70.000000</c:v>
                </c:pt>
                <c:pt idx="45">
                  <c:v>116.000000</c:v>
                </c:pt>
                <c:pt idx="46">
                  <c:v>66.000000</c:v>
                </c:pt>
                <c:pt idx="47">
                  <c:v>55.000000</c:v>
                </c:pt>
                <c:pt idx="48">
                  <c:v>73.000000</c:v>
                </c:pt>
                <c:pt idx="49">
                  <c:v>56.000000</c:v>
                </c:pt>
                <c:pt idx="50">
                  <c:v>80.000000</c:v>
                </c:pt>
                <c:pt idx="51">
                  <c:v>59.000000</c:v>
                </c:pt>
                <c:pt idx="52">
                  <c:v>74.000000</c:v>
                </c:pt>
                <c:pt idx="53">
                  <c:v>62.000000</c:v>
                </c:pt>
                <c:pt idx="54">
                  <c:v>69.000000</c:v>
                </c:pt>
                <c:pt idx="55">
                  <c:v>76.000000</c:v>
                </c:pt>
                <c:pt idx="56">
                  <c:v>86.000000</c:v>
                </c:pt>
                <c:pt idx="57">
                  <c:v>68.000000</c:v>
                </c:pt>
                <c:pt idx="58">
                  <c:v>85.000000</c:v>
                </c:pt>
                <c:pt idx="59">
                  <c:v>74.000000</c:v>
                </c:pt>
                <c:pt idx="60">
                  <c:v>67.000000</c:v>
                </c:pt>
                <c:pt idx="61">
                  <c:v>52.500000</c:v>
                </c:pt>
                <c:pt idx="62">
                  <c:v>65.000000</c:v>
                </c:pt>
                <c:pt idx="63">
                  <c:v>70.000000</c:v>
                </c:pt>
                <c:pt idx="64">
                  <c:v>111.000000</c:v>
                </c:pt>
                <c:pt idx="65">
                  <c:v>89.000000</c:v>
                </c:pt>
                <c:pt idx="66">
                  <c:v>68.000000</c:v>
                </c:pt>
                <c:pt idx="67">
                  <c:v>66.000000</c:v>
                </c:pt>
                <c:pt idx="68">
                  <c:v>67.000000</c:v>
                </c:pt>
                <c:pt idx="69">
                  <c:v>56.000000</c:v>
                </c:pt>
                <c:pt idx="70">
                  <c:v>59.000000</c:v>
                </c:pt>
                <c:pt idx="71">
                  <c:v>115.000000</c:v>
                </c:pt>
                <c:pt idx="72">
                  <c:v>105.000000</c:v>
                </c:pt>
                <c:pt idx="73">
                  <c:v>112.000000</c:v>
                </c:pt>
                <c:pt idx="74">
                  <c:v>77.000000</c:v>
                </c:pt>
                <c:pt idx="75">
                  <c:v>72.000000</c:v>
                </c:pt>
                <c:pt idx="76">
                  <c:v>60.000000</c:v>
                </c:pt>
                <c:pt idx="77">
                  <c:v>72.000000</c:v>
                </c:pt>
                <c:pt idx="78">
                  <c:v>52.000000</c:v>
                </c:pt>
                <c:pt idx="79">
                  <c:v>51.000000</c:v>
                </c:pt>
                <c:pt idx="80">
                  <c:v>72.000000</c:v>
                </c:pt>
                <c:pt idx="81">
                  <c:v>96.000000</c:v>
                </c:pt>
                <c:pt idx="82">
                  <c:v>81.000000</c:v>
                </c:pt>
                <c:pt idx="83">
                  <c:v>85.000000</c:v>
                </c:pt>
                <c:pt idx="84">
                  <c:v>66.600000</c:v>
                </c:pt>
                <c:pt idx="85">
                  <c:v>67.000000</c:v>
                </c:pt>
                <c:pt idx="86">
                  <c:v>59.000000</c:v>
                </c:pt>
                <c:pt idx="87">
                  <c:v>78.000000</c:v>
                </c:pt>
                <c:pt idx="88">
                  <c:v>50.000000</c:v>
                </c:pt>
                <c:pt idx="89">
                  <c:v>51.500000</c:v>
                </c:pt>
                <c:pt idx="90">
                  <c:v>54.000000</c:v>
                </c:pt>
                <c:pt idx="91">
                  <c:v>75.000000</c:v>
                </c:pt>
                <c:pt idx="92">
                  <c:v>82.000000</c:v>
                </c:pt>
                <c:pt idx="93">
                  <c:v>66.000000</c:v>
                </c:pt>
                <c:pt idx="94">
                  <c:v>55.000000</c:v>
                </c:pt>
                <c:pt idx="95">
                  <c:v>89.000000</c:v>
                </c:pt>
                <c:pt idx="96">
                  <c:v>61.000000</c:v>
                </c:pt>
                <c:pt idx="97">
                  <c:v>83.000000</c:v>
                </c:pt>
                <c:pt idx="98">
                  <c:v>73.500000</c:v>
                </c:pt>
                <c:pt idx="99">
                  <c:v>63.000000</c:v>
                </c:pt>
                <c:pt idx="100">
                  <c:v>99.000000</c:v>
                </c:pt>
                <c:pt idx="101">
                  <c:v>78.000000</c:v>
                </c:pt>
                <c:pt idx="102">
                  <c:v>87.500000</c:v>
                </c:pt>
                <c:pt idx="103">
                  <c:v>76.500000</c:v>
                </c:pt>
                <c:pt idx="104">
                  <c:v>59.000000</c:v>
                </c:pt>
                <c:pt idx="105">
                  <c:v>116.000000</c:v>
                </c:pt>
                <c:pt idx="106">
                  <c:v>77.000000</c:v>
                </c:pt>
                <c:pt idx="107">
                  <c:v>113.000000</c:v>
                </c:pt>
                <c:pt idx="108">
                  <c:v>78.000000</c:v>
                </c:pt>
                <c:pt idx="109">
                  <c:v>77.000000</c:v>
                </c:pt>
                <c:pt idx="110">
                  <c:v>81.000000</c:v>
                </c:pt>
                <c:pt idx="111">
                  <c:v>81.000000</c:v>
                </c:pt>
                <c:pt idx="112">
                  <c:v>56.000000</c:v>
                </c:pt>
                <c:pt idx="113">
                  <c:v>96.000000</c:v>
                </c:pt>
                <c:pt idx="114">
                  <c:v>122.000000</c:v>
                </c:pt>
                <c:pt idx="115">
                  <c:v>109.000000</c:v>
                </c:pt>
                <c:pt idx="116">
                  <c:v>65.000000</c:v>
                </c:pt>
                <c:pt idx="117">
                  <c:v>55.000000</c:v>
                </c:pt>
                <c:pt idx="118">
                  <c:v>58.000000</c:v>
                </c:pt>
                <c:pt idx="119">
                  <c:v>85.000000</c:v>
                </c:pt>
                <c:pt idx="120">
                  <c:v>67.000000</c:v>
                </c:pt>
                <c:pt idx="121">
                  <c:v>75.000000</c:v>
                </c:pt>
                <c:pt idx="122">
                  <c:v>75.000000</c:v>
                </c:pt>
                <c:pt idx="123">
                  <c:v>73.800000</c:v>
                </c:pt>
                <c:pt idx="124">
                  <c:v>65.000000</c:v>
                </c:pt>
                <c:pt idx="125">
                  <c:v>80.000000</c:v>
                </c:pt>
                <c:pt idx="126">
                  <c:v>54.000000</c:v>
                </c:pt>
                <c:pt idx="127">
                  <c:v>69.000000</c:v>
                </c:pt>
                <c:pt idx="128">
                  <c:v>78.000000</c:v>
                </c:pt>
                <c:pt idx="129">
                  <c:v>53.500000</c:v>
                </c:pt>
                <c:pt idx="130">
                  <c:v>82.000000</c:v>
                </c:pt>
                <c:pt idx="131">
                  <c:v>54.000000</c:v>
                </c:pt>
                <c:pt idx="132">
                  <c:v>55.000000</c:v>
                </c:pt>
                <c:pt idx="133">
                  <c:v>67.500000</c:v>
                </c:pt>
                <c:pt idx="134">
                  <c:v>89.000000</c:v>
                </c:pt>
                <c:pt idx="135">
                  <c:v>55.000000</c:v>
                </c:pt>
                <c:pt idx="136">
                  <c:v>56.000000</c:v>
                </c:pt>
                <c:pt idx="137">
                  <c:v>70.100000</c:v>
                </c:pt>
                <c:pt idx="138">
                  <c:v>74.200000</c:v>
                </c:pt>
                <c:pt idx="139">
                  <c:v>59.100000</c:v>
                </c:pt>
                <c:pt idx="140">
                  <c:v>73.600000</c:v>
                </c:pt>
                <c:pt idx="141">
                  <c:v>72.000000</c:v>
                </c:pt>
                <c:pt idx="142">
                  <c:v>78.000000</c:v>
                </c:pt>
                <c:pt idx="143">
                  <c:v>75.000000</c:v>
                </c:pt>
                <c:pt idx="144">
                  <c:v>62.000000</c:v>
                </c:pt>
                <c:pt idx="145">
                  <c:v>71.000000</c:v>
                </c:pt>
                <c:pt idx="146">
                  <c:v>89.000000</c:v>
                </c:pt>
                <c:pt idx="147">
                  <c:v>57.000000</c:v>
                </c:pt>
                <c:pt idx="148">
                  <c:v>80.000000</c:v>
                </c:pt>
                <c:pt idx="149">
                  <c:v>61.500000</c:v>
                </c:pt>
                <c:pt idx="150">
                  <c:v>78.500000</c:v>
                </c:pt>
                <c:pt idx="151">
                  <c:v>102.000000</c:v>
                </c:pt>
                <c:pt idx="152">
                  <c:v>50.500000</c:v>
                </c:pt>
                <c:pt idx="153">
                  <c:v>72.000000</c:v>
                </c:pt>
                <c:pt idx="154">
                  <c:v>57.000000</c:v>
                </c:pt>
                <c:pt idx="155">
                  <c:v>100.000000</c:v>
                </c:pt>
                <c:pt idx="156">
                  <c:v>63.000000</c:v>
                </c:pt>
                <c:pt idx="157">
                  <c:v>69.000000</c:v>
                </c:pt>
                <c:pt idx="158">
                  <c:v>49.000000</c:v>
                </c:pt>
                <c:pt idx="159">
                  <c:v>86.000000</c:v>
                </c:pt>
                <c:pt idx="160">
                  <c:v>101.000000</c:v>
                </c:pt>
                <c:pt idx="161">
                  <c:v>70.000000</c:v>
                </c:pt>
                <c:pt idx="162">
                  <c:v>88.000000</c:v>
                </c:pt>
                <c:pt idx="163">
                  <c:v>69.000000</c:v>
                </c:pt>
              </c:numCache>
            </c:numRef>
          </c:xVal>
          <c:yVal>
            <c:numRef>
              <c:f>Sheet1!$C$2:$C$165</c:f>
              <c:numCache>
                <c:ptCount val="164"/>
                <c:pt idx="0">
                  <c:v>182.000000</c:v>
                </c:pt>
                <c:pt idx="1">
                  <c:v>190.000000</c:v>
                </c:pt>
                <c:pt idx="2">
                  <c:v>185.000000</c:v>
                </c:pt>
                <c:pt idx="3">
                  <c:v>175.000000</c:v>
                </c:pt>
                <c:pt idx="4">
                  <c:v>167.000000</c:v>
                </c:pt>
                <c:pt idx="5">
                  <c:v>179.000000</c:v>
                </c:pt>
                <c:pt idx="6">
                  <c:v>167.000000</c:v>
                </c:pt>
                <c:pt idx="7">
                  <c:v>180.000000</c:v>
                </c:pt>
                <c:pt idx="8">
                  <c:v>189.000000</c:v>
                </c:pt>
                <c:pt idx="9">
                  <c:v>160.000000</c:v>
                </c:pt>
                <c:pt idx="10">
                  <c:v>171.000000</c:v>
                </c:pt>
                <c:pt idx="11">
                  <c:v>154.000000</c:v>
                </c:pt>
                <c:pt idx="12">
                  <c:v>175.000000</c:v>
                </c:pt>
                <c:pt idx="13">
                  <c:v>172.000000</c:v>
                </c:pt>
                <c:pt idx="14">
                  <c:v>165.000000</c:v>
                </c:pt>
                <c:pt idx="15">
                  <c:v>165.000000</c:v>
                </c:pt>
                <c:pt idx="16">
                  <c:v>164.000000</c:v>
                </c:pt>
                <c:pt idx="17">
                  <c:v>164.000000</c:v>
                </c:pt>
                <c:pt idx="18">
                  <c:v>162.000000</c:v>
                </c:pt>
                <c:pt idx="19">
                  <c:v>185.000000</c:v>
                </c:pt>
                <c:pt idx="20">
                  <c:v>181.000000</c:v>
                </c:pt>
                <c:pt idx="21">
                  <c:v>180.000000</c:v>
                </c:pt>
                <c:pt idx="22">
                  <c:v>168.000000</c:v>
                </c:pt>
                <c:pt idx="23">
                  <c:v>172.000000</c:v>
                </c:pt>
                <c:pt idx="24">
                  <c:v>185.000000</c:v>
                </c:pt>
                <c:pt idx="25">
                  <c:v>178.000000</c:v>
                </c:pt>
                <c:pt idx="26">
                  <c:v>174.000000</c:v>
                </c:pt>
                <c:pt idx="27">
                  <c:v>185.000000</c:v>
                </c:pt>
                <c:pt idx="28">
                  <c:v>180.000000</c:v>
                </c:pt>
                <c:pt idx="29">
                  <c:v>175.000000</c:v>
                </c:pt>
                <c:pt idx="30">
                  <c:v>162.000000</c:v>
                </c:pt>
                <c:pt idx="31">
                  <c:v>167.000000</c:v>
                </c:pt>
                <c:pt idx="32">
                  <c:v>162.000000</c:v>
                </c:pt>
                <c:pt idx="33">
                  <c:v>190.000000</c:v>
                </c:pt>
                <c:pt idx="34">
                  <c:v>164.000000</c:v>
                </c:pt>
                <c:pt idx="35">
                  <c:v>173.000000</c:v>
                </c:pt>
                <c:pt idx="36">
                  <c:v>162.000000</c:v>
                </c:pt>
                <c:pt idx="37">
                  <c:v>181.000000</c:v>
                </c:pt>
                <c:pt idx="38">
                  <c:v>175.000000</c:v>
                </c:pt>
                <c:pt idx="39">
                  <c:v>169.000000</c:v>
                </c:pt>
                <c:pt idx="40">
                  <c:v>175.000000</c:v>
                </c:pt>
                <c:pt idx="41">
                  <c:v>173.000000</c:v>
                </c:pt>
                <c:pt idx="42">
                  <c:v>161.000000</c:v>
                </c:pt>
                <c:pt idx="43">
                  <c:v>172.000000</c:v>
                </c:pt>
                <c:pt idx="44">
                  <c:v>162.000000</c:v>
                </c:pt>
                <c:pt idx="45">
                  <c:v>182.000000</c:v>
                </c:pt>
                <c:pt idx="46">
                  <c:v>168.000000</c:v>
                </c:pt>
                <c:pt idx="47">
                  <c:v>167.000000</c:v>
                </c:pt>
                <c:pt idx="48">
                  <c:v>171.000000</c:v>
                </c:pt>
                <c:pt idx="49">
                  <c:v>161.000000</c:v>
                </c:pt>
                <c:pt idx="50">
                  <c:v>177.000000</c:v>
                </c:pt>
                <c:pt idx="51">
                  <c:v>173.000000</c:v>
                </c:pt>
                <c:pt idx="52">
                  <c:v>176.000000</c:v>
                </c:pt>
                <c:pt idx="53">
                  <c:v>165.000000</c:v>
                </c:pt>
                <c:pt idx="54">
                  <c:v>165.000000</c:v>
                </c:pt>
                <c:pt idx="55">
                  <c:v>161.000000</c:v>
                </c:pt>
                <c:pt idx="56">
                  <c:v>167.000000</c:v>
                </c:pt>
                <c:pt idx="57">
                  <c:v>171.000000</c:v>
                </c:pt>
                <c:pt idx="58">
                  <c:v>172.000000</c:v>
                </c:pt>
                <c:pt idx="59">
                  <c:v>160.000000</c:v>
                </c:pt>
                <c:pt idx="60">
                  <c:v>159.000000</c:v>
                </c:pt>
                <c:pt idx="61">
                  <c:v>165.000000</c:v>
                </c:pt>
                <c:pt idx="62">
                  <c:v>172.000000</c:v>
                </c:pt>
                <c:pt idx="63">
                  <c:v>168.000000</c:v>
                </c:pt>
                <c:pt idx="64">
                  <c:v>176.000000</c:v>
                </c:pt>
                <c:pt idx="65">
                  <c:v>183.000000</c:v>
                </c:pt>
                <c:pt idx="66">
                  <c:v>168.000000</c:v>
                </c:pt>
                <c:pt idx="67">
                  <c:v>173.000000</c:v>
                </c:pt>
                <c:pt idx="68">
                  <c:v>184.000000</c:v>
                </c:pt>
                <c:pt idx="69">
                  <c:v>166.000000</c:v>
                </c:pt>
                <c:pt idx="70">
                  <c:v>173.000000</c:v>
                </c:pt>
                <c:pt idx="71">
                  <c:v>185.000000</c:v>
                </c:pt>
                <c:pt idx="72">
                  <c:v>170.000000</c:v>
                </c:pt>
                <c:pt idx="73">
                  <c:v>162.000000</c:v>
                </c:pt>
                <c:pt idx="74">
                  <c:v>158.000000</c:v>
                </c:pt>
                <c:pt idx="75">
                  <c:v>173.000000</c:v>
                </c:pt>
                <c:pt idx="76">
                  <c:v>160.000000</c:v>
                </c:pt>
                <c:pt idx="77">
                  <c:v>179.000000</c:v>
                </c:pt>
                <c:pt idx="78">
                  <c:v>162.000000</c:v>
                </c:pt>
                <c:pt idx="79">
                  <c:v>165.000000</c:v>
                </c:pt>
                <c:pt idx="80">
                  <c:v>179.000000</c:v>
                </c:pt>
                <c:pt idx="81">
                  <c:v>178.000000</c:v>
                </c:pt>
                <c:pt idx="82">
                  <c:v>165.000000</c:v>
                </c:pt>
                <c:pt idx="83">
                  <c:v>185.000000</c:v>
                </c:pt>
                <c:pt idx="84">
                  <c:v>175.000000</c:v>
                </c:pt>
                <c:pt idx="85">
                  <c:v>164.000000</c:v>
                </c:pt>
                <c:pt idx="86">
                  <c:v>169.000000</c:v>
                </c:pt>
                <c:pt idx="87">
                  <c:v>193.000000</c:v>
                </c:pt>
                <c:pt idx="88">
                  <c:v>167.000000</c:v>
                </c:pt>
                <c:pt idx="89">
                  <c:v>163.000000</c:v>
                </c:pt>
                <c:pt idx="90">
                  <c:v>170.000000</c:v>
                </c:pt>
                <c:pt idx="91">
                  <c:v>172.000000</c:v>
                </c:pt>
                <c:pt idx="92">
                  <c:v>175.000000</c:v>
                </c:pt>
                <c:pt idx="93">
                  <c:v>170.000000</c:v>
                </c:pt>
                <c:pt idx="94">
                  <c:v>167.000000</c:v>
                </c:pt>
                <c:pt idx="95">
                  <c:v>174.000000</c:v>
                </c:pt>
                <c:pt idx="96">
                  <c:v>163.000000</c:v>
                </c:pt>
                <c:pt idx="97">
                  <c:v>177.000000</c:v>
                </c:pt>
                <c:pt idx="98">
                  <c:v>181.000000</c:v>
                </c:pt>
                <c:pt idx="99">
                  <c:v>155.000000</c:v>
                </c:pt>
                <c:pt idx="100">
                  <c:v>174.000000</c:v>
                </c:pt>
                <c:pt idx="101">
                  <c:v>179.000000</c:v>
                </c:pt>
                <c:pt idx="102">
                  <c:v>164.000000</c:v>
                </c:pt>
                <c:pt idx="103">
                  <c:v>171.000000</c:v>
                </c:pt>
                <c:pt idx="104">
                  <c:v>168.000000</c:v>
                </c:pt>
                <c:pt idx="105">
                  <c:v>192.000000</c:v>
                </c:pt>
                <c:pt idx="106">
                  <c:v>162.000000</c:v>
                </c:pt>
                <c:pt idx="107">
                  <c:v>173.000000</c:v>
                </c:pt>
                <c:pt idx="108">
                  <c:v>168.000000</c:v>
                </c:pt>
                <c:pt idx="109">
                  <c:v>174.000000</c:v>
                </c:pt>
                <c:pt idx="110">
                  <c:v>175.000000</c:v>
                </c:pt>
                <c:pt idx="111">
                  <c:v>177.000000</c:v>
                </c:pt>
                <c:pt idx="112">
                  <c:v>167.000000</c:v>
                </c:pt>
                <c:pt idx="113">
                  <c:v>165.000000</c:v>
                </c:pt>
                <c:pt idx="114">
                  <c:v>172.000000</c:v>
                </c:pt>
                <c:pt idx="115">
                  <c:v>155.000000</c:v>
                </c:pt>
                <c:pt idx="116">
                  <c:v>170.000000</c:v>
                </c:pt>
                <c:pt idx="117">
                  <c:v>164.000000</c:v>
                </c:pt>
                <c:pt idx="118">
                  <c:v>171.000000</c:v>
                </c:pt>
                <c:pt idx="119">
                  <c:v>183.000000</c:v>
                </c:pt>
                <c:pt idx="120">
                  <c:v>190.000000</c:v>
                </c:pt>
                <c:pt idx="121">
                  <c:v>173.200000</c:v>
                </c:pt>
                <c:pt idx="122">
                  <c:v>166.000000</c:v>
                </c:pt>
                <c:pt idx="123">
                  <c:v>170.000000</c:v>
                </c:pt>
                <c:pt idx="124">
                  <c:v>172.000000</c:v>
                </c:pt>
                <c:pt idx="125">
                  <c:v>180.000000</c:v>
                </c:pt>
                <c:pt idx="126">
                  <c:v>173.000000</c:v>
                </c:pt>
                <c:pt idx="127">
                  <c:v>164.000000</c:v>
                </c:pt>
                <c:pt idx="128">
                  <c:v>172.000000</c:v>
                </c:pt>
                <c:pt idx="129">
                  <c:v>159.000000</c:v>
                </c:pt>
                <c:pt idx="130">
                  <c:v>173.000000</c:v>
                </c:pt>
                <c:pt idx="131">
                  <c:v>158.000000</c:v>
                </c:pt>
                <c:pt idx="132">
                  <c:v>157.000000</c:v>
                </c:pt>
                <c:pt idx="133">
                  <c:v>164.000000</c:v>
                </c:pt>
                <c:pt idx="134">
                  <c:v>175.000000</c:v>
                </c:pt>
                <c:pt idx="135">
                  <c:v>173.000000</c:v>
                </c:pt>
                <c:pt idx="136">
                  <c:v>169.000000</c:v>
                </c:pt>
                <c:pt idx="137">
                  <c:v>164.000000</c:v>
                </c:pt>
                <c:pt idx="138">
                  <c:v>177.000000</c:v>
                </c:pt>
                <c:pt idx="139">
                  <c:v>167.000000</c:v>
                </c:pt>
                <c:pt idx="140">
                  <c:v>192.000000</c:v>
                </c:pt>
                <c:pt idx="141">
                  <c:v>160.000000</c:v>
                </c:pt>
                <c:pt idx="142">
                  <c:v>172.000000</c:v>
                </c:pt>
                <c:pt idx="143">
                  <c:v>189.000000</c:v>
                </c:pt>
                <c:pt idx="144">
                  <c:v>173.000000</c:v>
                </c:pt>
                <c:pt idx="145">
                  <c:v>175.000000</c:v>
                </c:pt>
                <c:pt idx="146">
                  <c:v>156.000000</c:v>
                </c:pt>
                <c:pt idx="147">
                  <c:v>177.000000</c:v>
                </c:pt>
                <c:pt idx="148">
                  <c:v>172.000000</c:v>
                </c:pt>
                <c:pt idx="149">
                  <c:v>161.000000</c:v>
                </c:pt>
                <c:pt idx="150">
                  <c:v>185.000000</c:v>
                </c:pt>
                <c:pt idx="151">
                  <c:v>160.000000</c:v>
                </c:pt>
                <c:pt idx="152">
                  <c:v>146.000000</c:v>
                </c:pt>
                <c:pt idx="153">
                  <c:v>160.000000</c:v>
                </c:pt>
                <c:pt idx="154">
                  <c:v>170.000000</c:v>
                </c:pt>
                <c:pt idx="155">
                  <c:v>186.000000</c:v>
                </c:pt>
                <c:pt idx="156">
                  <c:v>162.000000</c:v>
                </c:pt>
                <c:pt idx="157">
                  <c:v>158.000000</c:v>
                </c:pt>
                <c:pt idx="158">
                  <c:v>157.000000</c:v>
                </c:pt>
                <c:pt idx="159">
                  <c:v>180.000000</c:v>
                </c:pt>
                <c:pt idx="160">
                  <c:v>169.000000</c:v>
                </c:pt>
                <c:pt idx="161">
                  <c:v>170.000000</c:v>
                </c:pt>
                <c:pt idx="162">
                  <c:v>172.000000</c:v>
                </c:pt>
                <c:pt idx="163">
                  <c:v>189.000000</c:v>
                </c:pt>
              </c:numCache>
            </c:numRef>
          </c:yVal>
          <c:smooth val="0"/>
        </c:ser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Helvetica Neue"/>
                  </a:defRPr>
                </a:pPr>
                <a:r>
                  <a:rPr b="0" i="0" strike="noStrike" sz="1000" u="none">
                    <a:solidFill>
                      <a:srgbClr val="000000"/>
                    </a:solidFill>
                    <a:latin typeface="Helvetica Neue"/>
                  </a:rPr>
                  <a:t>Weight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3"/>
        <c:crosses val="autoZero"/>
        <c:crossBetween val="between"/>
        <c:majorUnit val="32.5"/>
        <c:minorUnit val="16.25"/>
      </c:val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title>
          <c:tx>
            <c:rich>
              <a:bodyPr rot="-5400000"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Helvetica Neue"/>
                  </a:defRPr>
                </a:pPr>
                <a:r>
                  <a:rPr b="0" i="0" strike="noStrike" sz="1000" u="none">
                    <a:solidFill>
                      <a:srgbClr val="000000"/>
                    </a:solidFill>
                    <a:latin typeface="Helvetica Neue"/>
                  </a:rPr>
                  <a:t>Height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2"/>
        <c:crosses val="autoZero"/>
        <c:crossBetween val="between"/>
        <c:majorUnit val="20"/>
        <c:minorUnit val="10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10234"/>
          <c:y val="0"/>
          <c:w val="0.844238"/>
          <c:h val="0.0619041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