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2.png" ContentType="image/png"/>
  <Override PartName="/word/media/rId43.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include</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Implication</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8"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started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a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may have difficulties to grasp the context of datasets related to different disciplines. A student in mathematics or statistics is familiar with various concepts that underpin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 (RStudio Cloud (</w:t>
      </w:r>
      <w:hyperlink r:id="rId24">
        <w:r>
          <w:rPr>
            <w:rStyle w:val="Hyperlink"/>
          </w:rPr>
          <w:t xml:space="preserve">https://rstudio.cloud/</w:t>
        </w:r>
      </w:hyperlink>
      <w:r>
        <w:t xml:space="preserve"> </w:t>
      </w:r>
      <w:r>
        <w:t xml:space="preserve">[TODO: add citation here]), Chromebook data science (</w:t>
      </w:r>
      <w:hyperlink r:id="rId25">
        <w:r>
          <w:rPr>
            <w:rStyle w:val="Hyperlink"/>
          </w:rPr>
          <w:t xml:space="preserve">http://jhudatascience.org/chromebookdatascience/</w:t>
        </w:r>
      </w:hyperlink>
      <w:r>
        <w:t xml:space="preserve">) [TODO: add citation here])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in the case of ecological data.</w:t>
      </w:r>
    </w:p>
    <w:p>
      <w:pPr>
        <w:pStyle w:val="BodyText"/>
      </w:pPr>
      <w:r>
        <w:t xml:space="preserve">These data science courses pose several pedagogical challenges due to the numerous and unfamiliar concepts that must be acquired by a heterogeneous class population.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Teaching and learning frameworks turn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 [Spadafora &amp; Zopito, 2018: TODO ref à ajouter]. Such frameworks are open, learning centered, and supported by a varied and rich environment [TODO: cite Bruton et al., 2011].</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 [TODO: detail a little bit with one more reference]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 Markdown, git, and a series of R packages preinstalled is used (</w:t>
      </w:r>
      <w:hyperlink r:id="rId26">
        <w:r>
          <w:rPr>
            <w:rStyle w:val="Hyperlink"/>
          </w:rPr>
          <w:t xml:space="preserve">https://www.sciviews.org/software/svbox/</w:t>
        </w:r>
      </w:hyperlink>
      <w:r>
        <w:t xml:space="preserv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7">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analyse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required increased exchanges with the teaching staff to support it?</w:t>
      </w:r>
    </w:p>
    <w:bookmarkEnd w:id="28"/>
    <w:bookmarkStart w:id="40" w:name="methods"/>
    <w:p>
      <w:pPr>
        <w:pStyle w:val="Heading1"/>
      </w:pPr>
      <w:r>
        <w:t xml:space="preserve">Methods</w:t>
      </w:r>
    </w:p>
    <w:p>
      <w:pPr>
        <w:pStyle w:val="FirstParagraph"/>
      </w:pPr>
      <w:r>
        <w:t xml:space="preserve">The course material is available online (</w:t>
      </w:r>
      <w:hyperlink r:id="rId29">
        <w:r>
          <w:rPr>
            <w:rStyle w:val="Hyperlink"/>
          </w:rPr>
          <w:t xml:space="preserve">https://wp.sciviews.org</w:t>
        </w:r>
      </w:hyperlink>
      <w:r>
        <w:t xml:space="preserve">) and is centralized in a Wordpress site. Students have to login with their GitHub account and their academic data are collected from the UMONS Moodle server (</w:t>
      </w:r>
      <w:hyperlink r:id="rId30">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to much in time. After reading the theory, students are exposed to exercises of four increasing levels of difficulty. They have thus to apply the concepts repeatedly but in different contexts, which breaks monotony and maintains a stimulating rhythm all along their progression. Once they have learn the principles in the book and self-assessed their comprehension of the concepts using H5P (</w:t>
      </w:r>
      <w:hyperlink r:id="rId31">
        <w:r>
          <w:rPr>
            <w:rStyle w:val="Hyperlink"/>
          </w:rPr>
          <w:t xml:space="preserve">https://h5p.org</w:t>
        </w:r>
      </w:hyperlink>
      <w:r>
        <w:t xml:space="preserve">) exercises (level 1 difficulty), they have to get used to the software environment. Learnr tutorials (</w:t>
      </w:r>
      <w:hyperlink r:id="rId27">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2">
        <w:r>
          <w:rPr>
            <w:rStyle w:val="Hyperlink"/>
          </w:rPr>
          <w:t xml:space="preserve">https://www.sciviews.org/learnitdown/</w:t>
        </w:r>
      </w:hyperlink>
      <w:r>
        <w:t xml:space="preserve">) provides the code required to manage user login, user identification and activity tracking for this interactive material.</w:t>
      </w:r>
    </w:p>
    <w:p>
      <w:pPr>
        <w:pStyle w:val="BodyText"/>
      </w:pPr>
      <w:r>
        <w:t xml:space="preserve">Projects containing the data, the analyses and the reports are hosted in GitHub repositories. These repositories are cloned and edited by the students in their virtual machines (SciViews Box) with RStudio (</w:t>
      </w:r>
      <w:hyperlink r:id="rId33">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by GitHub Classroom (</w:t>
      </w:r>
      <w:hyperlink r:id="rId34">
        <w:r>
          <w:rPr>
            <w:rStyle w:val="Hyperlink"/>
          </w:rPr>
          <w:t xml:space="preserve">https://classroom.github.com</w:t>
        </w:r>
      </w:hyperlink>
      <w:r>
        <w:t xml:space="preserve">). Reports are written in R Markdown (</w:t>
      </w:r>
      <w:hyperlink r:id="rId35">
        <w:r>
          <w:rPr>
            <w:rStyle w:val="Hyperlink"/>
          </w:rPr>
          <w:t xml:space="preserve">https://rmarkdown.rstudio.com/</w:t>
        </w:r>
      </w:hyperlink>
      <w:r>
        <w:t xml:space="preserve">) that combines the prose with R code to produce analyses results, plots and tables directly inside the documents. All repositories are ultimately cloned by the teachers in a centralized area on our servers and data about commits (git logs) are collected using git version 2.31.1 and R version 4.0.5 [TODO: cite R properly here]. To give an idea of the data recorded, in 2020-2021 we have a little bit more than 3,500 events recorded for each student.</w:t>
      </w:r>
    </w:p>
    <w:p>
      <w:pPr>
        <w:pStyle w:val="BodyText"/>
      </w:pPr>
      <w:r>
        <w:t xml:space="preserve">In distance learning, students’ support was done via email and Discord (</w:t>
      </w:r>
      <w:hyperlink r:id="rId36">
        <w:r>
          <w:rPr>
            <w:rStyle w:val="Hyperlink"/>
          </w:rPr>
          <w:t xml:space="preserve">https://discord.com</w:t>
        </w:r>
      </w:hyperlink>
      <w:r>
        <w:t xml:space="preserve">). At the end of an academic term, all recorded messages were collected into text files. These files were scraped using custom R code to create a table with key information (basically, who, when, and what) for each message. Surveys are done periodically in-class though Wooclap questionnaires (</w:t>
      </w:r>
      <w:hyperlink r:id="rId37">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w:t>
      </w:r>
    </w:p>
    <w:p>
      <w:pPr>
        <w:pStyle w:val="BodyText"/>
      </w:pPr>
      <w:r>
        <w:t xml:space="preserve">R and tidyverse packages (</w:t>
      </w:r>
      <w:hyperlink r:id="rId38">
        <w:r>
          <w:rPr>
            <w:rStyle w:val="Hyperlink"/>
          </w:rPr>
          <w:t xml:space="preserve">https://www.tidyverse.org</w:t>
        </w:r>
      </w:hyperlink>
      <w:r>
        <w:t xml:space="preserve">) were user to prepare the data and for the analyses. A GitHub repository with the code used to create the figures and table in this paper is available at</w:t>
      </w:r>
      <w:r>
        <w:t xml:space="preserve"> </w:t>
      </w:r>
      <w:hyperlink r:id="rId39">
        <w:r>
          <w:rPr>
            <w:rStyle w:val="Hyperlink"/>
          </w:rPr>
          <w:t xml:space="preserve">https://github.com/BioDataScience-Course/teaching_data_science_in_biology</w:t>
        </w:r>
      </w:hyperlink>
      <w:r>
        <w:t xml:space="preserve">. [TODO: more details on statistic analyses, in particular SOM to put here + refs… Guyliann?]</w:t>
      </w:r>
    </w:p>
    <w:p>
      <w:pPr>
        <w:pStyle w:val="BodyText"/>
      </w:pPr>
      <w:r>
        <w:t xml:space="preserve">A NASA-LTX questionnaire was used to study perceived workload to complete a task. It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these learnr tutorials.</w:t>
      </w:r>
    </w:p>
    <w:bookmarkEnd w:id="40"/>
    <w:bookmarkStart w:id="51" w:name="results"/>
    <w:p>
      <w:pPr>
        <w:pStyle w:val="Heading1"/>
      </w:pPr>
      <w:r>
        <w:t xml:space="preserve">Results</w:t>
      </w:r>
    </w:p>
    <w:p>
      <w:pPr>
        <w:pStyle w:val="FirstParagraph"/>
      </w:pPr>
      <w:r>
        <w:t xml:space="preserve">This study is performed on data originating from three successive courses that comprise 26 modules in total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(courses A and B) are also used when it is pertinent. For instance, final exams were only used during these two years. It should be kept in mind that the pedagogical material was written and improved progressively during the three academic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old courses during 15 years was critical in the redesign of the new ones.</w:t>
      </w:r>
    </w:p>
    <w:bookmarkStart w:id="44"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w:t>
      </w:r>
      <w:r>
        <w:t xml:space="preserve"> </w:t>
      </w:r>
      <w:r>
        <w:t xml:space="preserve">) in the form of learnr documents in 2019-2020. The tutorials were further refined in 2020-2021: we added contextual hints thanks to the gradethis R package (</w:t>
      </w:r>
      <w:hyperlink r:id="rId41">
        <w:r>
          <w:rPr>
            <w:rStyle w:val="Hyperlink"/>
          </w:rPr>
          <w:t xml:space="preserve">https://pkgs.rstudio.com/gradethis/</w:t>
        </w:r>
      </w:hyperlink>
      <w:r>
        <w:t xml:space="preserve">). When students submit their answer to the exercises, the R code is parsed,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is estimated by using a proxy: the average number of entries that were required for each student to find the right answer in learnr tutorial exercises (Fig.</w:t>
      </w:r>
      <w:r>
        <w:t xml:space="preserve"> </w:t>
      </w:r>
      <w:r>
        <w:t xml:space="preserve">). Only data from students that performed most of the exercises were used. This variable varies significantly between the three courses (ANOVA, F(2,109) = 3.655, p-value = 0.029). The students in course C need significantly fewer trials to find the right answer than students in courses A at</w:t>
      </w:r>
      <w:r>
        <w:t xml:space="preserve"> </w:t>
      </w:r>
      <m:oMath>
        <m:r>
          <m:t>α</m:t>
        </m:r>
      </m:oMath>
      <w:r>
        <w:t xml:space="preserve"> </w:t>
      </w:r>
      <w:r>
        <w:t xml:space="preserve">level of 5% (Tukey HSD, t = -2.489, p-value = 0.0375) and B (Tukey HSD, t = 0.0474, p-value = 0.047)</w:t>
      </w:r>
    </w:p>
    <w:p>
      <w:pPr>
        <w:pStyle w:val="BodyText"/>
      </w:pPr>
      <w:r>
        <w:t xml:space="preserve">The perceived cognitive load required to perform these exercises is also determined on the same students and for the same exercises. The Raw Task Load indeX measures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Raw Task Load indeX (Fig.</w:t>
      </w:r>
      <w:r>
        <w:t xml:space="preserve"> </w:t>
      </w:r>
      <w:r>
        <w:t xml:space="preserve">). On the contrary, these appear significantly lower for course C than for course A at the $</w:t>
      </w:r>
      <w:r>
        <w:t xml:space="preserve">level of 5% (ANOVA, F(2,98) = 3.588, p-value = 0.031; Tukey HSD, t = -2.679, p-value = 0.023). The cognitive load perceived by the students diminishes at the same pace as their ability to find the right answer in less trials. This may be a consequence of a more fluent R coding and a better mastering of the software environment.</w:t>
      </w:r>
    </w:p>
    <w:bookmarkEnd w:id="44"/>
    <w:bookmarkStart w:id="46"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as summative assessment. So, we compare grades our students got from such an exam with score they obtain directly in their projects in 2018-2019 and 2019-2020. The final exam is written in learnr, and it mixes a few questions about the theory with several partly solved data analyses that students have to explain, criticize and finalize during the exam session on the computer. The exam is thus largely focusing practical analysis, in line with the expected outcomes.</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The comparison of the grades obtained by each student for a project and a final exam shows only a weak correlation between these two types of evaluations (Fig.</w:t>
      </w:r>
      <w:r>
        <w:t xml:space="preserve"> </w:t>
      </w:r>
      <w:r>
        <w:t xml:space="preserve">). In 2018-2019, only one student failed in the project, while almost one third of them failed their final exams. The difficulty of the project was similar to previous years with the old course in biostatistics (and failure was not uncommon at that time). The flipped classroom approach leaves more time in class to work on practical applications, to ask questions, to discuss results, … We hypothesize that the very low failure rate in the projects could be explained by a better preparation to practical data analysis, but not to the final exam.</w:t>
      </w:r>
    </w:p>
    <w:p>
      <w:pPr>
        <w:pStyle w:val="BodyText"/>
      </w:pPr>
      <w:r>
        <w:t xml:space="preserve">In 2019-2020, we raised a little bit the difficulty for the projects,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summative assessment that includes a series of questions involving writing R code to analyze data in the final exam, it does not reflect properly the ability of the students to correctly process and analyze biological data, as in their projects. Alignment with intended learning outcomes seems thus to be more present in the projects. Due to these results, the final examination was abandoned for the academic year 2020-2021, and it has been replaced by an ongoing assessment of the students’ activities across all four level exercises. These activities are analyzed in the following section.</w:t>
      </w:r>
    </w:p>
    <w:bookmarkEnd w:id="46"/>
    <w:bookmarkStart w:id="48" w:name="X45f2d99cbc76e7b22aecc1f060665ca9d5076e9"/>
    <w:p>
      <w:pPr>
        <w:pStyle w:val="Heading2"/>
      </w:pPr>
      <w:r>
        <w:t xml:space="preserve">Students activity profiles with ongoing assessment</w:t>
      </w:r>
    </w:p>
    <w:p>
      <w:pPr>
        <w:pStyle w:val="FirstParagraph"/>
      </w:pPr>
      <w:r>
        <w:t xml:space="preserve">Despite the fact that we have relatively homogeneous classes of students with similarly (low) level of knowledge in statistics and computing initially, the flipped classroom approach and the proactive attitude we expect from our learners (they must formulate questions correctly whenever they face a problem) conduct to different and contrasted learning strategies. Not all students ask questions. Some of them try to find solutions on their own. Some other prefer to ask their questions privately, while others have no problems exposing their difficulties on a public forum (the Discord channel dedicated to the course). The way and the timing learners progress in the exercises also largely vary. The schedule is not tight and only suggests a rhythm of progression. No student is penalized if the exercises are done later, as soon as they are completed before a final deadline. As expected, a part of our students prefer to stick to the proposed schedule, while others procrastinate and differ the completion of their exercises. Some strategies are more efficient than others. We analyzed records of the students’ activities to distinguish these profiles and we compare them with the grade they obtain at the end of the course.</w:t>
      </w:r>
    </w:p>
    <w:p>
      <w:pPr>
        <w:pStyle w:val="BodyText"/>
      </w:pPr>
      <w:r>
        <w:t xml:space="preserve">In 2020-2021, to support the ongoing assessment without a final exam, the activity of each student in level 1 (H5P) and 2 (learnr) exercises was exhaustively recorded in a database. For the GitHub projects (levels 3 and 4 exercises), it is the GitHub repositories and the git log data that are analyzed. During lockdown periods, exchange with students and answers to their questions were exclusively done by email, text or voice messages on Discord on private or public channels. Students were allowed to freely choose their favorite tool to interact with the teachers and between each other. All these exchanges were recorded too.</w:t>
      </w:r>
    </w:p>
    <w:p>
      <w:pPr>
        <w:pStyle w:val="BodyText"/>
      </w:pPr>
      <w:r>
        <w:t xml:space="preserve">The degree of completion of all the exercises was used to establish the final grade for the course, with a much higher weight on individuals and especially, on group projects. The weight was adjusted from course to course according to the importance of the different projects, mainly. To give an idea, for course A second term, level 1 H5P exercises accounted for 5%, 10% for level 2 learnr tutorials, 35% for level 3 individual projects and 50% for level 4 group works. On average, each student received more than 130 assessment items that accounted for their final grade. Two third of these assessments were established manually, using evaluation grids and based on their reports in the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 excluding quizzes,</w:t>
      </w:r>
    </w:p>
    <w:p>
      <w:pPr>
        <w:numPr>
          <w:ilvl w:val="0"/>
          <w:numId w:val="1003"/>
        </w:numPr>
      </w:pPr>
      <w:r>
        <w:t xml:space="preserve">hints/learnr ex.: in learnr exercises, students can display hints to help them to solve the problems (but they loose 10% of the score for the exercise for each hint they reveal). This is the average number of hints per exercise that were displayed by each student,</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 thus excluding quizzes.</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the R Markdown reports by one student in one individual project, on average (this includes embedded R code for the processing, analysis and plotting of data),</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w:t>
      </w:r>
    </w:p>
    <w:p>
      <w:pPr>
        <w:pStyle w:val="FirstParagraph"/>
      </w:pPr>
      <w:r>
        <w:t xml:space="preserve">For support:</w:t>
      </w:r>
    </w:p>
    <w:p>
      <w:pPr>
        <w:numPr>
          <w:ilvl w:val="0"/>
          <w:numId w:val="1005"/>
        </w:numPr>
      </w:pPr>
      <w:r>
        <w:t xml:space="preserve">questions/module: the number of questions student asked, divided by the number of modules in the course,</w:t>
      </w:r>
    </w:p>
    <w:p>
      <w:pPr>
        <w:numPr>
          <w:ilvl w:val="0"/>
          <w:numId w:val="1005"/>
        </w:numPr>
      </w:pPr>
      <w:r>
        <w:t xml:space="preserve">percent of public questions: the fraction of questions that the student posted in a public channel (the Discord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w:t>
      </w:r>
      <w:r>
        <w:t xml:space="preserve"> </w:t>
      </w:r>
      <w:r>
        <w:rPr>
          <w:iCs/>
          <w:i/>
        </w:rPr>
        <w:t xml:space="preserve">a priori</w:t>
      </w:r>
      <w:r>
        <w:t xml:space="preserve"> </w:t>
      </w:r>
      <w:r>
        <w:t xml:space="preserve">knowledge is important in education. So, to avoid biases due to the past curriculum of the students, we restrict this analysis to the subpopulation that comes from the first year of Bachelor in Biology at UMONS only. A Kohonen’ self-organizing map is used to create student profiles according to their activities (Fig.</w:t>
      </w:r>
      <w:r>
        <w:t xml:space="preserve"> </w:t>
      </w:r>
      <w:r>
        <w:t xml:space="preserve">). A three by three hexagonal map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 Fig.</w:t>
      </w:r>
      <w:r>
        <w:t xml:space="preserve"> </w:t>
      </w:r>
      <w:r>
        <w:t xml:space="preserve">, the small peripheral plots in gray scale show how selected metrics distribute in the nine cells, from lowest value in white to highest value in black. They help to decipher the way students behave according to their profile. Metrics that are not represented in the figure exhibit similar patterns than others (for instance H5P metrics have a similar pattern as learnr metrics). Dots in the central plot are the various students, with color representing the course and the diameter of the dots indicating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these exercises. These students obtained very low grades, of course. They belong to courses A and B. On the other hand, heavy workers are at the bottom (I &amp; J), and good performers in learnr tutorials (C) are in cells (5-9).</w:t>
      </w:r>
    </w:p>
    <w:p>
      <w:pPr>
        <w:numPr>
          <w:ilvl w:val="0"/>
          <w:numId w:val="1007"/>
        </w:numPr>
      </w:pPr>
      <w:r>
        <w:t xml:space="preserve">Cells (2 and 6) collect students that seldom ask questions (E), and that rarely appear on the public channel (G). Minor differences separate them. For instance, learners in cell (2) sometimes use hints (B), while those in cell (6) never do,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behavior from one course to the other in term of ease in front of the exercises, even if they remain silent in the teacher-learner interactions.</w:t>
      </w:r>
    </w:p>
    <w:p>
      <w:pPr>
        <w:numPr>
          <w:ilvl w:val="0"/>
          <w:numId w:val="1007"/>
        </w:numPr>
      </w:pPr>
      <w:r>
        <w:t xml:space="preserve">Among the students that have a hard time to figure out the answers to auto-evaluation exercises, cell (1) reassemble people that most heavily rely on hints (B), and are among those who need to retry the exercises more often before figuring out the correct answer (A), a characteristic they share with cell (4). These students also ask a lot of questions (E), both on the public and private channels (G, mid gray indicating a balance between public and private messages).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7"/>
        </w:numPr>
      </w:pPr>
      <w:r>
        <w:t xml:space="preserve">All these cells (1-4 plus 6) are students that exhibit suboptimal behaviors in one or the other way. The remaining cells (5, 7-9) correspond to learner profiles that perform better from this point of view. Cell (5) is primarily represented by students from course A, but otherwise, also from course B and C. These are average actors in all metrics, except they are fluent with level 1 (H5P, not shown) and level 2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In cell (7), they largely use the public channel (G) and also respect the schedule quite well (H) as main differences from those from cell (5). Students in cells (8) and (9) are not so often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summarize, at the top of the SOM map, cells (1-4, plus 6) contain students with suboptimal behaviors, cell (5) are average students, and cells (7-9) at the bottom exhibit profiles corresponding to best performers. The pattern is also visible between courses A (mainly distributed at the top or center of the map) to B and C (more represented at the bottom). This suggests probably that students need time to get used to the course, its pedagogical approach, and/or the software environment they have to use. Since only a small fraction of the participating students fail, excluding the defeating ones in cell (4), the course pattern can hardly be explained by a filter of the low performers from one course to the other.</w:t>
      </w:r>
    </w:p>
    <w:bookmarkEnd w:id="48"/>
    <w:bookmarkStart w:id="50" w:name="X880f0484f9e1ad692d2de8708f205858520ac7b"/>
    <w:p>
      <w:pPr>
        <w:pStyle w:val="Heading2"/>
      </w:pPr>
      <w:r>
        <w:t xml:space="preserve">Transition between face-to-face to distance learning</w:t>
      </w:r>
    </w:p>
    <w:p>
      <w:pPr>
        <w:pStyle w:val="FirstParagraph"/>
      </w:pPr>
      <w:r>
        <w:t xml:space="preserve">Due to Covid-19 lockdown periods, distance learning had to be adopted abruptly. We analyze the activity collected during academic years 2019-2020 and 2020-2021 to evaluate the impact of these transitions on the progression of the students In Fig.</w:t>
      </w:r>
      <w:r>
        <w:t xml:space="preserve"> </w:t>
      </w:r>
      <w:r>
        <w:t xml:space="preserve">, the academic term is divided into seven work periods of approximately two weeks each (remind that it is the suggested rhythm of the courses: one module every second week). The classes of the second term start at period Y1P09, since period Y1P08 is reserved for the exams. The courses of the first term of 2020-2021 begins at Y2P01. First lockdown started at period Y1P11 for one month and an half. Second lockdown stared at Y2P03 and lasted to the end of the second term (Y2P15). During the first lockdown, we quickly opened the dedicated Discord channels that were available without any latency.</w:t>
      </w:r>
    </w:p>
    <w:p>
      <w:pPr>
        <w:pStyle w:val="CaptionedFigure"/>
      </w:pPr>
      <w:r>
        <w:drawing>
          <wp:inline>
            <wp:extent cx="5334000" cy="4800600"/>
            <wp:effectExtent b="0" l="0" r="0" t="0"/>
            <wp:docPr descr=" 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9"/>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Average contributions of the students to the projects by periods of two weeks of course. b. Contributions by question asked (log scale) for each student as a proxy measurement of the efficiency of teacher-learner interactions on the progression in data analyses. Light gray background indicates periods where distance teaching was mandatory due to Covid-19 lockdown. The number of students that interacted during each period is indicated on top of the boxlots (Y1 is 2019-2020, Y2 is 2020-2021).</w:t>
      </w:r>
    </w:p>
    <w:p>
      <w:pPr>
        <w:pStyle w:val="BodyText"/>
      </w:pPr>
      <w:r>
        <w:t xml:space="preserve">Contributions par student (Fig.</w:t>
      </w:r>
      <w:r>
        <w:t xml:space="preserve"> </w:t>
      </w:r>
      <w:r>
        <w:t xml:space="preserve">a) is relatively constant during the second year, starting essentially at Y2P03, when the second lockdown was established. The highest activity is observable at the end (Y2P15), although there is no module teach during that period. This is because of the late students that finalize their reports at the last minute. Y2P01, Y2P02 and Y2P09 exhibit the lowest activity, and these are the start of the first and second terms. Y2P01 and Y2P01 were also teach in face-to-face and they correspond to the start of all three courses.</w:t>
      </w:r>
    </w:p>
    <w:p>
      <w:pPr>
        <w:pStyle w:val="BodyText"/>
      </w:pPr>
      <w:r>
        <w:t xml:space="preserve">The efficiency of learners-teachers interactions for that contribution, quantified by the contributions divided by the questions (Fig.</w:t>
      </w:r>
      <w:r>
        <w:t xml:space="preserve"> </w:t>
      </w:r>
      <w:r>
        <w:t xml:space="preserve">b) is very widespread from one student to the other. That ratio spreads on several orders of magnitude. However, median value -the bar inside the boxes- varies much less. Global amount of questions during each period is less variable, as is the absolute contributions, leading to a rather stable ratio. Highest median ratios are observed at the last period of each term (Y2P07 and Y2P15) although no module was teach at that time. More contributions are observed relative to the questions at the end: students essentially finalize their reports.</w:t>
      </w:r>
    </w:p>
    <w:p>
      <w:pPr>
        <w:pStyle w:val="BodyText"/>
      </w:pPr>
      <w:r>
        <w:t xml:space="preserve">The first year shows a different pattern. First, the lockdown period was restricted to the very end of second term. Only the last module in both course A and B remained. In Y1P12, when distance learning was first imposed, we observe a marked decrease in the contributions per student (Fig.</w:t>
      </w:r>
      <w:r>
        <w:t xml:space="preserve"> </w:t>
      </w:r>
      <w:r>
        <w:t xml:space="preserve">a). It is heavily compensated in periods Y1P13 and Y1P14, which are by far the most busy periods of all. Period Y1P15 is not represented because it is after the deadline to finish all work that year.</w:t>
      </w:r>
    </w:p>
    <w:p>
      <w:pPr>
        <w:pStyle w:val="BodyText"/>
      </w:pPr>
      <w:r>
        <w:t xml:space="preserve">Efficiency of support during the first year shows a similar pattern as for second year: extremely widespread from student to student. Median value is similar too, if not among the highest during periods Y1P11, Y1P13 and Y1P14. The productivity was thus not affected during that first lockdown, after a short lag time observable in Y1P12.</w:t>
      </w:r>
    </w:p>
    <w:bookmarkEnd w:id="50"/>
    <w:bookmarkEnd w:id="51"/>
    <w:bookmarkStart w:id="52"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w:t>
      </w:r>
      <w:r>
        <w:t xml:space="preserve"> </w:t>
      </w:r>
      <w:r>
        <w:t xml:space="preserve">“</w:t>
      </w:r>
      <w:r>
        <w:t xml:space="preserve">any educational model where online delivery ranges from 50% to 80%</w:t>
      </w:r>
      <w:r>
        <w:t xml:space="preserve">”</w:t>
      </w:r>
      <w:r>
        <w:t xml:space="preserve"> </w:t>
      </w:r>
      <w:r>
        <w:t xml:space="preserve">[TODO: add citation here]), with an emphasis on proactive exchange with the teachers: students have to ask questions to progress. Overall, these are winning choices because most of our students were successful, excluding a few defeating ones.</w:t>
      </w:r>
      <w:r>
        <w:t xml:space="preserve"> </w:t>
      </w:r>
      <w:r>
        <w:t xml:space="preserve"> </w:t>
      </w:r>
      <w:r>
        <w:t xml:space="preserve">also obtained good results using flipped classroom with its course targeting students in biology.</w:t>
      </w:r>
    </w:p>
    <w:p>
      <w:pPr>
        <w:pStyle w:val="BodyText"/>
      </w:pPr>
      <w:r>
        <w:t xml:space="preserve">Before our courses, the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in four stages, which are: (1) auto-evaluation exercises directly in the online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as a key activity in the learning process during academic year 2018-2019. So, we have focused our attention on these learnr documents. In 2020-2021, the use of an heuristic engine (gradethis) to provide contextual feedback on the errors students make in their answers was much appreciated. The measured RTLX index will serve in the future as a reference to gauge possible optimization of the tutorials, with lower perceived workload without sacrificing the content. The significant decrease in RTLX value from course A to C indicates that there is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[TODO: cite Spadafora &amp; Zopito].</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with a complex dataset, and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we organize it in groups of two to four students, depending on the complexity of the problem. Here, they mobilize their collective intelligence to get results many of them would be hardly capable of achieving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defeating students in Fig.</w:t>
      </w:r>
      <w:r>
        <w:t xml:space="preserve"> </w:t>
      </w:r>
      <w:r>
        <w:t xml:space="preserve"> </w:t>
      </w:r>
      <w:r>
        <w:t xml:space="preserve">cell (3) is involved. If we could identify the profile of the different students relatively early during the course, we would be able to create better groupings with a blend of different complimentary profiles to enrich the experience of all learners. Maybe should we work exclusively with groups of four to mitigate the impact of one defeating student?</w:t>
      </w:r>
    </w:p>
    <w:p>
      <w:pPr>
        <w:pStyle w:val="BodyText"/>
      </w:pPr>
      <w:r>
        <w:t xml:space="preserve">We observed a low correlation between performances in group projects and in grades obtained at final exams (Fig.</w:t>
      </w:r>
      <w:r>
        <w:t xml:space="preserve"> </w:t>
      </w:r>
      <w:r>
        <w:t xml:space="preserve">). This led us to stop using final exams, at the benefit of an ongoing assessment with emphasis into projects. We had to set up a procedure to monitor and score the students’ activity in all the exercises by automatic scoring online exercises, and to manually score all projects against evaluation grids.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opportunity to study the way learning happens (or not). Learning analytics are primarily used to early predict success or failure.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an example for students that rarely post their questions publicly, we will test an alternate discussion channel were teachers never post but have read access. In case of an error, the teacher will contact the student privately to explain him what is wrong. That student would then have the responsibility to reexplain corretly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w:t>
      </w:r>
      <w:r>
        <w:t xml:space="preserve"> </w:t>
      </w:r>
      <w:r>
        <w:t xml:space="preserve">.</w:t>
      </w:r>
    </w:p>
    <w:p>
      <w:pPr>
        <w:pStyle w:val="BodyText"/>
      </w:pPr>
      <w:r>
        <w:t xml:space="preserve">Forced distance learning, due to Covid-19 lockdown did not appear to be a barrier in the production of our students in their projects. A pattern is observed during first lockdown with a marked decrease in their contributions, followed by a large, compensatory activity. All this happened in a time frame of a couple of weeks. That was the time needed to adapt to the new situation. The most problematic aspect was the access to a powerful-enough computer for roughly 15 to 20% of our students. In a normal situation, these students had access to computers at the university, both during and outside of the courses. When lockdown was established, those students suffered most by a lack of hardware. However, to reduce the social fracture, the university quickly reacted and computers were lend to them. During the second lockdown, a larger part of our students had acquired their own computer, and solutions were immediately available for the others. Consequently, no lag time was observable in their production.</w:t>
      </w:r>
    </w:p>
    <w:p>
      <w:pPr>
        <w:pStyle w:val="BodyText"/>
      </w:pPr>
      <w:r>
        <w:t xml:space="preserve">If the amount of questions and the efficiency of the teacher-learner interactions, quantified in term of contributions/question, remainded globally at a similar level in face-to-face or distance learning, their impact on the teachers timetables was very different. In distance learning, students tend to work at very different moments. Their questions are thus less concentrated during the courses. Also, an alternance between asynchronous work at home and synchronous work in the computer lab is more beneficial to interactions between students. The social and human components of teaching and learning are key factors that tend to vanish in pure distance learning. Contacts though videoconferences only partly compensate for these lack of interactions because physical presence remains different to video chats. Blended learning combines the best of both worlds</w:t>
      </w:r>
      <w:r>
        <w:t xml:space="preserve"> </w:t>
      </w:r>
      <w:r>
        <w:t xml:space="preserve">.</w:t>
      </w:r>
    </w:p>
    <w:bookmarkEnd w:id="52"/>
    <w:bookmarkStart w:id="54"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passed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[TODO: citer Spadofora et Marini 2018… ou autre car déjà beaucoup cité dans le papier]. Speaking about diversification, in 2020-2021 we have successfully tested a kaggle-like challenge (</w:t>
      </w:r>
      <w:hyperlink r:id="rId53">
        <w:r>
          <w:rPr>
            <w:rStyle w:val="Hyperlink"/>
          </w:rPr>
          <w:t xml:space="preserve">https://www.kaggle.com/competitions</w:t>
        </w:r>
      </w:hyperlink>
      <w:r>
        <w:t xml:space="preserve">) in one of the machine learning modules. Such ludic activities would also contribute to the diversification of pedagogical practices, interest and motivation of the students [TODO: refs needed if possible]. We would also be happy to share experience with other teachers in data science. Altogether, we are on the way to reshape the post-covid teaching landscape, and it will probably be quite different to what we are used today!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6"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9"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41" Target="https://pkgs.rstudio.com/gradethis/" TargetMode="External" /><Relationship Type="http://schemas.openxmlformats.org/officeDocument/2006/relationships/hyperlink" Id="rId35" Target="https://rmarkdown.rstudio.com/"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3"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8" Target="https://www.tidyverse.org" TargetMode="External" /><Relationship Type="http://schemas.openxmlformats.org/officeDocument/2006/relationships/hyperlink" Id="rId37"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2021-07-08T21:17:26Z</dcterms:created>
  <dcterms:modified xsi:type="dcterms:W3CDTF">2021-07-08T21:17:26Z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output">
    <vt:lpwstr/>
  </property>
  <property fmtid="{D5CDD505-2E9C-101B-9397-08002B2CF9AE}" pid="4" name="runtitle">
    <vt:lpwstr>Teaching Data Science in Biology</vt:lpwstr>
  </property>
</Properties>
</file>