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33.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bookmarkStart w:id="22" w:name="abstract"/>
    <w:p>
      <w:pPr>
        <w:pStyle w:val="Heading1"/>
      </w:pPr>
      <w:r>
        <w:t xml:space="preserve">Abstract</w:t>
      </w:r>
    </w:p>
    <w:p>
      <w:pPr>
        <w:pStyle w:val="FirstParagraph"/>
      </w:pPr>
      <w:r>
        <w:rPr>
          <w:bCs/>
          <w:b/>
        </w:rPr>
        <w:t xml:space="preserve">This is the original abstract that should be reworked according to final content of the manuscript.</w:t>
      </w:r>
    </w:p>
    <w:p>
      <w:pPr>
        <w:pStyle w:val="BodyText"/>
      </w:pPr>
      <w:r>
        <w:t xml:space="preserve">The courses in biostatistics in biology at the University of Mons, Belgium, were completely refactored in 2018 into data science courses (see</w:t>
      </w:r>
      <w:r>
        <w:t xml:space="preserve"> </w:t>
      </w:r>
      <w:hyperlink r:id="rId20">
        <w:r>
          <w:rPr>
            <w:rStyle w:val="Hyperlink"/>
          </w:rPr>
          <w:t xml:space="preserve">http://bds.sciviews.org</w:t>
        </w:r>
      </w:hyperlink>
      <w:r>
        <w:t xml:space="preserve">). The content is expanded beyond statistics to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w:t>
      </w:r>
      <w:r>
        <w:t xml:space="preserve"> </w:t>
      </w:r>
      <w:hyperlink r:id="rId21">
        <w:r>
          <w:rPr>
            <w:rStyle w:val="Hyperlink"/>
          </w:rPr>
          <w:t xml:space="preserve">https://github.com/BioDataScience-Course</w:t>
        </w:r>
      </w:hyperlink>
      <w:r>
        <w:t xml:space="preserve">). The analysis of these data reveals several trends. (1) There is a relatively long lag period required for the students to get used to the computing environment, the teaching method and the data science in general. (2) Implication is very high, with more than 85% of the students that complete all the activities and got good to excellent assessment. (3) There is a gap between students’ own perception of their skills achievements and their assessment results: they tend to underestimate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w:t>
      </w:r>
    </w:p>
    <w:bookmarkEnd w:id="22"/>
    <w:bookmarkStart w:id="27"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(Marx 2013)</w:t>
      </w:r>
      <w:r>
        <w:t xml:space="preserve">, a reproducibility crisis in Science</w:t>
      </w:r>
      <w:r>
        <w:t xml:space="preserve"> </w:t>
      </w:r>
      <w:r>
        <w:t xml:space="preserve">(Baker 2016)</w:t>
      </w:r>
      <w:r>
        <w:t xml:space="preserve">, and a progressive adoption of Open Science practices</w:t>
      </w:r>
      <w:r>
        <w:t xml:space="preserve"> </w:t>
      </w:r>
      <w:r>
        <w:t xml:space="preserve">(Banks et al. 2019)</w:t>
      </w:r>
      <w:r>
        <w:t xml:space="preserve">, statistics were broaden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3">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(Donoho 2017; Çetinkaya-Rundel and Ellison 2021)</w:t>
      </w:r>
      <w:r>
        <w:t xml:space="preserve">. One example is the Harvard Data Science initiative (</w:t>
      </w:r>
      <w:hyperlink r:id="rId24">
        <w:r>
          <w:rPr>
            <w:rStyle w:val="Hyperlink"/>
          </w:rPr>
          <w:t xml:space="preserve">https://datascience.harvard.edu/about</w:t>
        </w:r>
      </w:hyperlink>
      <w:r>
        <w:t xml:space="preserve">) initiated in 2017. With a broader approach, comes also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(Çetinkaya-Rundel and Ellison 2021)</w:t>
      </w:r>
      <w:r>
        <w:t xml:space="preserve">). Main focus of such courses is for students to develop the ability to deal with</w:t>
      </w:r>
      <w:r>
        <w:t xml:space="preserve"> </w:t>
      </w:r>
      <w:r>
        <w:t xml:space="preserve">“</w:t>
      </w:r>
      <w:r>
        <w:t xml:space="preserve">real</w:t>
      </w:r>
      <w:r>
        <w:t xml:space="preserve">”</w:t>
      </w:r>
      <w:r>
        <w:t xml:space="preserve"> </w:t>
      </w:r>
      <w:r>
        <w:t xml:space="preserve">datasets in all their complexities and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This is the same for the analysis of these data when students have no background in mathematics or statistics. It generates anxiety (see for instance</w:t>
      </w:r>
      <w:r>
        <w:t xml:space="preserve"> </w:t>
      </w:r>
      <w:r>
        <w:t xml:space="preserve">(Onwuegbuzie and Wilson 2003)</w:t>
      </w:r>
      <w:r>
        <w:t xml:space="preserve">, for students in biology). The course must be organized in a way that such students progress by little steps in order to avoid exposition to much intimidating concepts and tools at once. Hence, a student in computing science already masters one or more computing languages, is acquainted with version control systems, with databases and with the way data are manipulated and represented in a computer. A student in mathematics or statistics is familiar with various concept that underpin the techniques to analyse the data. On the other hand, students in biology, medicine, psychology, social sciences, economics, … have very different</w:t>
      </w:r>
      <w:r>
        <w:t xml:space="preserve"> </w:t>
      </w:r>
      <w:r>
        <w:rPr>
          <w:iCs/>
          <w:i/>
        </w:rPr>
        <w:t xml:space="preserve">a priori</w:t>
      </w:r>
      <w:r>
        <w:t xml:space="preserve"> </w:t>
      </w:r>
      <w:r>
        <w:t xml:space="preserve">knowledges. Version control systems like git, and their internet hosting counterparts like GitHub, Gitlab or Bitbucket also make part of the tools that data science course teach and use</w:t>
      </w:r>
      <w:r>
        <w:t xml:space="preserve"> </w:t>
      </w:r>
      <w:r>
        <w:t xml:space="preserve">(Fiksel et al. 2019; Hsing and Gennarelli 2019)</w:t>
      </w:r>
      <w:r>
        <w:t xml:space="preserve">. Presentation of the results and the use of documents formats that dissociate content from presentation, namely LaTeX, Jupyter Notebook, or R Markdown to cite a few, also contribute to the large number of potentially new tools students have to learn</w:t>
      </w:r>
      <w:r>
        <w:t xml:space="preserve"> </w:t>
      </w:r>
      <w:r>
        <w:t xml:space="preserve">(Baumer et al. 2014)</w:t>
      </w:r>
      <w:r>
        <w:t xml:space="preserve">.</w:t>
      </w:r>
    </w:p>
    <w:p>
      <w:pPr>
        <w:pStyle w:val="BodyText"/>
      </w:pPr>
      <w:r>
        <w:t xml:space="preserve">Suitable computer hardware and software environments are required in the practical sessions of the courses. Different approaches range from inline software (RStudio Cloud (</w:t>
      </w:r>
      <w:hyperlink r:id="rId25">
        <w:r>
          <w:rPr>
            <w:rStyle w:val="Hyperlink"/>
          </w:rPr>
          <w:t xml:space="preserve">https://rstudio.cloud/</w:t>
        </w:r>
      </w:hyperlink>
      <w:r>
        <w:t xml:space="preserve">), Chromebook data science (</w:t>
      </w:r>
      <w:hyperlink r:id="rId26">
        <w:r>
          <w:rPr>
            <w:rStyle w:val="Hyperlink"/>
          </w:rPr>
          <w:t xml:space="preserve">http://jhudatascience.org/chromebookdatascience/</w:t>
        </w:r>
      </w:hyperlink>
      <w:r>
        <w:t xml:space="preserve">)) to local installation on the Student’s computers. The former requires an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(Çetinkaya-Rundel and Rundel 2018 ; Boettiger 2015)</w:t>
      </w:r>
      <w:r>
        <w:t xml:space="preserve">. Such a solution is the most flexible one because it can be deployed almost anywhere (in the computer lab, at home, in a laptop, …). To fix theoretical concepts through applied exercises is a key aspect of learning data science</w:t>
      </w:r>
      <w:r>
        <w:t xml:space="preserve"> </w:t>
      </w:r>
      <w:r>
        <w:t xml:space="preserve">(Larwin and Larwin 2011)</w:t>
      </w:r>
      <w:r>
        <w:t xml:space="preserve">. Correct choice of software is critical and exposing students early with the tools they are most susceptible to use later in their work is desirable. This was highlighted by</w:t>
      </w:r>
      <w:r>
        <w:t xml:space="preserve"> </w:t>
      </w:r>
      <w:r>
        <w:t xml:space="preserve">(Auker and Barthelmess 2020)</w:t>
      </w:r>
      <w:r>
        <w:t xml:space="preserve"> </w:t>
      </w:r>
      <w:r>
        <w:t xml:space="preserve">for instance, for the analysis of ecological data.</w:t>
      </w:r>
    </w:p>
    <w:p>
      <w:pPr>
        <w:pStyle w:val="BodyText"/>
      </w:pPr>
      <w:r>
        <w:t xml:space="preserve">These data science courses pose several challenges to pedagogy because various, numerous and unfamiliar concepts must be acquired by a population of potentially very diverse students. Learning objectives span a large range of cognitive abilities</w:t>
      </w:r>
      <w:r>
        <w:t xml:space="preserve"> </w:t>
      </w:r>
      <w:r>
        <w:t xml:space="preserve">(Krathwohl 2002)</w:t>
      </w:r>
      <w:r>
        <w:t xml:space="preserve">. [We need to develop here things like flipped classroom, continuous evaluation, pedagogy by projects, and inclusive pedagogy]. The flipped classroom approach allows students to be active in their learning, which has the benefit of improving student outcomes</w:t>
      </w:r>
      <w:r>
        <w:t xml:space="preserve"> </w:t>
      </w:r>
      <w:r>
        <w:t xml:space="preserve">(Freeman et al. 2014)</w:t>
      </w:r>
      <w:r>
        <w:t xml:space="preserve">.</w:t>
      </w:r>
    </w:p>
    <w:p>
      <w:pPr>
        <w:pStyle w:val="BodyText"/>
      </w:pPr>
      <w:r>
        <w:t xml:space="preserve">[Partie pédagogie à détailler un peu, probablement sur 2 ou 3 paragraphes]</w:t>
      </w:r>
    </w:p>
    <w:p>
      <w:pPr>
        <w:pStyle w:val="BodyText"/>
      </w:pPr>
      <w:r>
        <w:t xml:space="preserve">Recently, data science is also used to analyse the effect of different pedagogical practices on the outcome of these courses [</w:t>
      </w:r>
      <w:r>
        <w:t xml:space="preserve">Estrellado et al. (2020)</w:t>
      </w:r>
      <w:r>
        <w:t xml:space="preserve">; second ref to add]. A vast amount of data can be collected on students activities, and the analysis of these data allows to compare the impact of different pedagogical approaches, or to quantify and document the impact of changes in the courses.</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to extract meaningful information from raw biological data, and to do so in a reproducible way, with correct application of statistical tools and an adequate critical mind. A preconfigured VirtualBox virtual machine with R, RStudio, Rmarkdown, git, and a series of R packages preinstalled is used (TODO: url sciviews box here) as a very flexible way to deploy the same software environment both on the university computers and on student’s own laptops.</w:t>
      </w:r>
    </w:p>
    <w:p>
      <w:pPr>
        <w:pStyle w:val="BodyText"/>
      </w:pPr>
      <w:r>
        <w:t xml:space="preserve">As our course were completely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Conclusions of these analyses initiate another cycle the following academic year with refined goals and pedagogical materials and techniques. Here, we present the main results spanning on three successive academic years from 2018 to 2021, including two particular periods where distance learning was forced due to Covid-19 pandemic lockdown.</w:t>
      </w:r>
    </w:p>
    <w:p>
      <w:pPr>
        <w:pStyle w:val="BodyText"/>
      </w:pPr>
      <w:r>
        <w:t xml:space="preserve">[TODO: present here the 3-4 research questions that will be elaborated in the manuscript.]</w:t>
      </w:r>
    </w:p>
    <w:p>
      <w:pPr>
        <w:numPr>
          <w:ilvl w:val="0"/>
          <w:numId w:val="1001"/>
        </w:numPr>
      </w:pPr>
      <w:r>
        <w:t xml:space="preserve">examen final versus évaluation de projet</w:t>
      </w:r>
    </w:p>
    <w:p>
      <w:pPr>
        <w:numPr>
          <w:ilvl w:val="0"/>
          <w:numId w:val="1001"/>
        </w:numPr>
      </w:pPr>
      <w:r>
        <w:t xml:space="preserve">profils d’étudiants.</w:t>
      </w:r>
    </w:p>
    <w:p>
      <w:pPr>
        <w:numPr>
          <w:ilvl w:val="0"/>
          <w:numId w:val="1001"/>
        </w:numPr>
      </w:pPr>
      <w:r>
        <w:t xml:space="preserve">timing et support présentiel - distanciel.</w:t>
      </w:r>
    </w:p>
    <w:p>
      <w:pPr>
        <w:numPr>
          <w:ilvl w:val="0"/>
          <w:numId w:val="1001"/>
        </w:numPr>
      </w:pPr>
      <w:r>
        <w:t xml:space="preserve">charge cognitive learnr</w:t>
      </w:r>
    </w:p>
    <w:bookmarkEnd w:id="27"/>
    <w:bookmarkStart w:id="31" w:name="methods"/>
    <w:p>
      <w:pPr>
        <w:pStyle w:val="Heading1"/>
      </w:pPr>
      <w:r>
        <w:t xml:space="preserve">Methods</w:t>
      </w:r>
    </w:p>
    <w:p>
      <w:pPr>
        <w:pStyle w:val="FirstParagraph"/>
      </w:pPr>
      <w:r>
        <w:t xml:space="preserve">The course materials are available online (</w:t>
      </w:r>
      <w:hyperlink r:id="rId28">
        <w:r>
          <w:rPr>
            <w:rStyle w:val="Hyperlink"/>
          </w:rPr>
          <w:t xml:space="preserve">https://wp.sciviews.org</w:t>
        </w:r>
      </w:hyperlink>
      <w:r>
        <w:t xml:space="preserve">) and are centralized in a Wordpress site. Students have to login with their GitHub account and their academic data are collected from the UMONS Moodle server (</w:t>
      </w:r>
      <w:hyperlink r:id="rId29">
        <w:r>
          <w:rPr>
            <w:rStyle w:val="Hyperlink"/>
          </w:rPr>
          <w:t xml:space="preserve">https://moodle.umons.ac.be</w:t>
        </w:r>
      </w:hyperlink>
      <w:r>
        <w:t xml:space="preserve">). The courses are break down into modules that amount roughly to 15h of work each in total. There are two sessions of 2h and 4h in the classroom (outside of lockdown periods, of course). Main activities in the class are actual data analysis (projects), answering student questions, and very sort lectures of 1/4h on selected topics. Students propose and vote for the topics to be covered during these short lectures. Finally, we encourage students to help each other and to explain what they understand to their colleagues. Indeed, students’ questions may be redirected by the educators to other students that have already mastered the topic. On the other hand, teachers rarely answer questions directly. When it is possible, they rather propose new tracks or ideas to investigate in order to push student to find the solution by themselves. Students that have finished the work before the others are encouraged to help their colleagues too.</w:t>
      </w:r>
    </w:p>
    <w:p>
      <w:pPr>
        <w:pStyle w:val="BodyText"/>
      </w:pPr>
      <w:r>
        <w:t xml:space="preserve">Regarding the timing, one module it taught every second week so that students have enough time to prepare the material at home and then, to finalize their projects before the next module. Since a term is 14 weeks, we do not teach more than six modules in a course unit to avoid compacting them in time at a faster pace than one module every second week.</w:t>
      </w:r>
    </w:p>
    <w:p>
      <w:pPr>
        <w:pStyle w:val="BodyText"/>
      </w:pPr>
      <w:r>
        <w:t xml:space="preserve">The activities in H5P exercises, and in learnr tutorials to transition smoothly from the theory to the practice are recorded in a MongoDB database. The learnitdown R package (</w:t>
      </w:r>
      <w:hyperlink r:id="rId30">
        <w:r>
          <w:rPr>
            <w:rStyle w:val="Hyperlink"/>
          </w:rPr>
          <w:t xml:space="preserve">https://www.sciviews.org/learnitdown/</w:t>
        </w:r>
      </w:hyperlink>
      <w:r>
        <w:t xml:space="preserve">) provides the code required to manage user login, user identification and activity tracking in these interactive materials.</w:t>
      </w:r>
    </w:p>
    <w:p>
      <w:pPr>
        <w:pStyle w:val="BodyText"/>
      </w:pPr>
      <w:r>
        <w:t xml:space="preserve">Projects containing the data, the analyses and the reports are hosted in GitHub repositories. These repositories are cloned and edited locally with RStudio, either on a PC in the computer lab, or directly on the student’s laptop. We encourage our students to install the virtual machine for the course on their own computer so that they can use it for other activities too. Assignment and creation of the GitHub repositories for each student, or group of students is orchestrated with GitHub Classroom. All repositories are ultimately cloned in a centralized area on our servers and data about commits (git logs) are collected using git version [XXX] and R version 4.0.5. To give an idea of the amount of data recorded, in 2020-2021 we have a little bit more than 3,500 events recorded for each student.</w:t>
      </w:r>
    </w:p>
    <w:p>
      <w:pPr>
        <w:pStyle w:val="BodyText"/>
      </w:pPr>
      <w:r>
        <w:t xml:space="preserve">In distance learning, support to the students was done via email and Discord. At the end, all messages that were exchanged are collected together into text files. These files are scraped using R code to create a table with key information (basically, who, when, and what) for each message. Surveys are periodically conducted during lessons by means of Wooclap questionnaires (see, for instance, the Nasa-LTX questionnaire analysis in the results section). Wooclap allows to export data into Excel files. These data are then converted into a table in our database.</w:t>
      </w:r>
    </w:p>
    <w:p>
      <w:pPr>
        <w:pStyle w:val="BodyText"/>
      </w:pPr>
      <w:r>
        <w:t xml:space="preserve">Information about users, courses, lessons and projects, as well as grading items (on average, more that 130 grading items were established for each student in 2020-2021) are anonymized: name, email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the course begins. They can visualize their own data through personalized reports at any time.</w:t>
      </w:r>
    </w:p>
    <w:p>
      <w:pPr>
        <w:pStyle w:val="BodyText"/>
      </w:pPr>
      <w:r>
        <w:t xml:space="preserve">The course material is organized in a way that favour autonomy and auto-evaluation (direct feedback in the exercises, hints and retry button in case of wrong answer). Activities span into a sequence of exercises of increasing difficulties, ranging from Level 1 to level 4. Table 1 summarizes main characteristics of the exercises according to the level.</w:t>
      </w:r>
    </w:p>
    <w:p>
      <w:pPr>
        <w:pStyle w:val="TableCaption"/>
      </w:pPr>
      <w:r>
        <w:t xml:space="preserve">four levels of increasing difficulties in the exercises.</w:t>
      </w:r>
    </w:p>
    <w:tbl>
      <w:tblPr>
        <w:tblStyle w:val="Table"/>
        <w:tblW w:type="pct" w:w="4999.999999999999"/>
        <w:tblLook w:firstRow="1" w:lastRow="0" w:firstColumn="0" w:lastColumn="0" w:noHBand="0" w:noVBand="0" w:val="0020"/>
        <w:tblCaption w:val="four levels of increasing difficulties in the exercises."/>
      </w:tblPr>
      <w:tblGrid>
        <w:gridCol w:w="454"/>
        <w:gridCol w:w="6167"/>
        <w:gridCol w:w="1298"/>
      </w:tblGrid>
      <w:tr>
        <w:tc>
          <w:p>
            <w:pPr>
              <w:pStyle w:val="Compact"/>
              <w:jc w:val="left"/>
            </w:pPr>
            <w:r>
              <w:t xml:space="preserve">Level</w:t>
            </w:r>
          </w:p>
        </w:tc>
        <w:tc>
          <w:p>
            <w:pPr>
              <w:pStyle w:val="Compact"/>
              <w:jc w:val="left"/>
            </w:pPr>
            <w:r>
              <w:t xml:space="preserve">Description</w:t>
            </w:r>
          </w:p>
        </w:tc>
        <w:tc>
          <w:p>
            <w:pPr>
              <w:pStyle w:val="Compact"/>
              <w:jc w:val="left"/>
            </w:pPr>
            <w:r>
              <w:t xml:space="preserve">Type</w:t>
            </w:r>
          </w:p>
        </w:tc>
      </w:tr>
      <w:tr>
        <w:tc>
          <w:p>
            <w:pPr>
              <w:pStyle w:val="Compact"/>
              <w:jc w:val="left"/>
            </w:pPr>
            <w:r>
              <w:t xml:space="preserve">L1</w:t>
            </w:r>
          </w:p>
        </w:tc>
        <w:tc>
          <w:p>
            <w:pPr>
              <w:pStyle w:val="Compact"/>
              <w:jc w:val="left"/>
            </w:pPr>
            <w:r>
              <w:t xml:space="preserve">Short exercise directly integrated in the course and with direct feedback for auto-evaluation</w:t>
            </w:r>
          </w:p>
        </w:tc>
        <w:tc>
          <w:p>
            <w:pPr>
              <w:pStyle w:val="Compact"/>
              <w:jc w:val="left"/>
            </w:pPr>
            <w:r>
              <w:t xml:space="preserve">h5p</w:t>
            </w:r>
          </w:p>
        </w:tc>
      </w:tr>
      <w:tr>
        <w:tc>
          <w:p>
            <w:pPr>
              <w:pStyle w:val="Compact"/>
              <w:jc w:val="left"/>
            </w:pPr>
            <w:r>
              <w:t xml:space="preserve">L2</w:t>
            </w:r>
          </w:p>
        </w:tc>
        <w:tc>
          <w:p>
            <w:pPr>
              <w:pStyle w:val="Compact"/>
              <w:jc w:val="left"/>
            </w:pPr>
            <w:r>
              <w:t xml:space="preserve">Guided exercise with contextual feedback within a short tutorial</w:t>
            </w:r>
          </w:p>
        </w:tc>
        <w:tc>
          <w:p>
            <w:pPr>
              <w:pStyle w:val="Compact"/>
              <w:jc w:val="left"/>
            </w:pPr>
            <w:r>
              <w:t xml:space="preserve">learnr</w:t>
            </w:r>
          </w:p>
        </w:tc>
      </w:tr>
      <w:tr>
        <w:tc>
          <w:p>
            <w:pPr>
              <w:pStyle w:val="Compact"/>
              <w:jc w:val="left"/>
            </w:pPr>
            <w:r>
              <w:t xml:space="preserve">L3</w:t>
            </w:r>
          </w:p>
        </w:tc>
        <w:tc>
          <w:p>
            <w:pPr>
              <w:pStyle w:val="Compact"/>
              <w:jc w:val="left"/>
            </w:pPr>
            <w:r>
              <w:t xml:space="preserve">Individual and guided data analysis</w:t>
            </w:r>
          </w:p>
        </w:tc>
        <w:tc>
          <w:p>
            <w:pPr>
              <w:pStyle w:val="Compact"/>
              <w:jc w:val="left"/>
            </w:pPr>
            <w:r>
              <w:t xml:space="preserve">individual project</w:t>
            </w:r>
          </w:p>
        </w:tc>
      </w:tr>
      <w:tr>
        <w:tc>
          <w:p>
            <w:pPr>
              <w:pStyle w:val="Compact"/>
              <w:jc w:val="left"/>
            </w:pPr>
            <w:r>
              <w:t xml:space="preserve">L4</w:t>
            </w:r>
          </w:p>
        </w:tc>
        <w:tc>
          <w:p>
            <w:pPr>
              <w:pStyle w:val="Compact"/>
              <w:jc w:val="left"/>
            </w:pPr>
            <w:r>
              <w:t xml:space="preserve">More complex and free data analysis and reporting (group of 2 or 4 students)</w:t>
            </w:r>
          </w:p>
        </w:tc>
        <w:tc>
          <w:p>
            <w:pPr>
              <w:pStyle w:val="Compact"/>
              <w:jc w:val="left"/>
            </w:pPr>
            <w:r>
              <w:t xml:space="preserve">group project</w:t>
            </w:r>
          </w:p>
        </w:tc>
      </w:tr>
    </w:tbl>
    <w:p>
      <w:pPr>
        <w:pStyle w:val="BodyText"/>
      </w:pPr>
      <w:r>
        <w:t xml:space="preserve">[one or two paragraphs to describe statistical methods used here…]</w:t>
      </w:r>
    </w:p>
    <w:p>
      <w:pPr>
        <w:pStyle w:val="BodyText"/>
      </w:pPr>
      <w:r>
        <w:t xml:space="preserve">The NASA-LTX questionnaire is composed of six questions on a Likert scale to quantify the perceived workload to complete a task</w:t>
      </w:r>
      <w:r>
        <w:t xml:space="preserve"> </w:t>
      </w:r>
      <w:r>
        <w:t xml:space="preserve">(Hart and Staveland 1988)</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(Byers, Bittner, and Hill 1989)</w:t>
      </w:r>
      <w:r>
        <w:t xml:space="preserve"> </w:t>
      </w:r>
      <w:r>
        <w:t xml:space="preserve">that we use to quantify how students perceive the workload of a given task.</w:t>
      </w:r>
    </w:p>
    <w:bookmarkEnd w:id="31"/>
    <w:bookmarkStart w:id="41" w:name="results"/>
    <w:p>
      <w:pPr>
        <w:pStyle w:val="Heading1"/>
      </w:pPr>
      <w:r>
        <w:t xml:space="preserve">Results</w:t>
      </w:r>
    </w:p>
    <w:p>
      <w:pPr>
        <w:pStyle w:val="FirstParagraph"/>
      </w:pPr>
      <w:r>
        <w:t xml:space="preserve">In all our three courses in biological data science, practice is the most important activity. Our goal is to ensure that our students are able to analyse all kind of real datasets, using the right techniques. They also learn how to write these analyses by using R and R Markdown to create reproducible reports managed under version control (git). There are several critical stages:</w:t>
      </w:r>
    </w:p>
    <w:p>
      <w:pPr>
        <w:numPr>
          <w:ilvl w:val="0"/>
          <w:numId w:val="1002"/>
        </w:numPr>
      </w:pPr>
      <w:r>
        <w:t xml:space="preserve">Once they have learnt the principles in the book and auto-evaluated their comprehension of the concepts using H5P exercises (level 1 difficulty), they have to get used to the software environment. Learnr tutorials (level 2) are used to gently introduce them to the R code required for the analyses by guiding them through their first data analysis. These tutorials are thus the entry point for their practice. We assess here the observed and perceived workload of these tutorials to make sure they engage the students without exhausting them.</w:t>
      </w:r>
    </w:p>
    <w:p>
      <w:pPr>
        <w:numPr>
          <w:ilvl w:val="0"/>
          <w:numId w:val="1002"/>
        </w:numPr>
      </w:pPr>
      <w:r>
        <w:t xml:space="preserve">Projects, both individual (level 3) and in group of 2 to 4 students (level 4) represent the core activity. Evaluation of these projects constitute, thus, the most important information to assess the competences of our students. However, an exam at the end of the course is a common practice. So, we compare grading our students obtain from such an exam with score they obtain directly in their projects. The final exam is written in learnr, and it mixes questions about the theory with partly solved data analyses they have to explain, criticize and continue during the exam session on the computer.</w:t>
      </w:r>
    </w:p>
    <w:p>
      <w:pPr>
        <w:numPr>
          <w:ilvl w:val="0"/>
          <w:numId w:val="1002"/>
        </w:numPr>
      </w:pPr>
      <w:r>
        <w:t xml:space="preserve">Despite we have relatively homogeneous classes of students with similarly (low) level of knowledge for statistics and computing at the beginning, the flipped class approach and the proactive attitude we expect from them (they must formulate questions correctly whenever they face a problem), we observe they develop very different strategies. Not all students ask questions. Some of them try to find solutions on their own. Some other prefer to ask their questions in private, while others have no problems to expose their difficulties on a public forum (a Discord channel for the course). The way and the timing they progress in the exercises also largely vary. The schedule is not tight and only suggest the rhythm of progression. No student is penalized if the exercises are done later, as soon as they are completed before the final deadline. We observe that some student prefer to stick to the proposed schedule, while other procrastinate and differ the completion of their exercises. Some strategies are more efficient than others. We analyse traces from the student activities to isolate different profile and we correlate them with the grade they obtain at the end of the course.</w:t>
      </w:r>
    </w:p>
    <w:p>
      <w:pPr>
        <w:numPr>
          <w:ilvl w:val="0"/>
          <w:numId w:val="1002"/>
        </w:numPr>
      </w:pPr>
      <w:r>
        <w:t xml:space="preserve">Finally, lockdown was imposed relatively abruptly and may interfere with the learning habits. We analyse whether the switch from face-to-face activities to distance teaching and back has an impact on their productivity.</w:t>
      </w:r>
    </w:p>
    <w:p>
      <w:pPr>
        <w:pStyle w:val="FirstParagraph"/>
      </w:pPr>
      <w:r>
        <w:t xml:space="preserve">This study is performed all along the three courses that comprise 26 modules in total in 2020-2021. Table XXX summarizes the number of H5P, learnr, individual and group GitHub projects that students have to complete. It should be noted that for course C, we also introduced a challenge in machine learning that replaced one group GitHub project. This challenge is not included in the present analysis, being an isolate activity that is difficult to compare to the rest.</w:t>
      </w:r>
    </w:p>
    <w:p>
      <w:pPr>
        <w:pStyle w:val="TableCaption"/>
      </w:pPr>
      <w:r>
        <w:t xml:space="preserve">Number of students, modules, and exercises for each course. For the learnr tutorials, the first number is the amount of tutorial documents and the second number in brackets is the total number of questions in these tutorials.</w:t>
      </w:r>
    </w:p>
    <w:tbl>
      <w:tblPr>
        <w:tblStyle w:val="Table"/>
        <w:tblW w:type="pct" w:w="0.0"/>
        <w:tblLook w:firstRow="1" w:lastRow="0" w:firstColumn="0" w:lastColumn="0" w:noHBand="0" w:noVBand="0" w:val="0020"/>
        <w:tblCaption w:val="Number of students, modules, and exercises for each course. For the learnr tutorials, the first number is the amount of tutorial documents and the second number in brackets is the total number of questions in these tutorials."/>
      </w:tblPr>
      <w:tblGrid/>
      <w:tr>
        <w:tc>
          <w:p>
            <w:pPr>
              <w:pStyle w:val="Compact"/>
              <w:jc w:val="left"/>
            </w:pPr>
            <w:r>
              <w:t xml:space="preserve">Course</w:t>
            </w:r>
          </w:p>
        </w:tc>
        <w:tc>
          <w:p>
            <w:pPr>
              <w:pStyle w:val="Compact"/>
              <w:jc w:val="right"/>
            </w:pPr>
            <w:r>
              <w:t xml:space="preserve">Students</w:t>
            </w:r>
          </w:p>
        </w:tc>
        <w:tc>
          <w:p>
            <w:pPr>
              <w:pStyle w:val="Compact"/>
              <w:jc w:val="right"/>
            </w:pPr>
            <w:r>
              <w:t xml:space="preserve">Modules</w:t>
            </w:r>
          </w:p>
        </w:tc>
        <w:tc>
          <w:p>
            <w:pPr>
              <w:pStyle w:val="Compact"/>
              <w:jc w:val="right"/>
            </w:pPr>
            <w:r>
              <w:t xml:space="preserve">H5P</w:t>
            </w:r>
          </w:p>
        </w:tc>
        <w:tc>
          <w:p>
            <w:pPr>
              <w:pStyle w:val="Compact"/>
              <w:jc w:val="left"/>
            </w:pPr>
            <w:r>
              <w:t xml:space="preserve">Learnr</w:t>
            </w:r>
          </w:p>
        </w:tc>
        <w:tc>
          <w:p>
            <w:pPr>
              <w:pStyle w:val="Compact"/>
              <w:jc w:val="right"/>
            </w:pPr>
            <w:r>
              <w:t xml:space="preserve">Indiv. projects</w:t>
            </w:r>
          </w:p>
        </w:tc>
        <w:tc>
          <w:p>
            <w:pPr>
              <w:pStyle w:val="Compact"/>
              <w:jc w:val="right"/>
            </w:pPr>
            <w:r>
              <w:t xml:space="preserve">Group projects</w:t>
            </w:r>
          </w:p>
        </w:tc>
      </w:tr>
      <w:tr>
        <w:tc>
          <w:p>
            <w:pPr>
              <w:pStyle w:val="Compact"/>
              <w:jc w:val="left"/>
            </w:pPr>
            <w:r>
              <w:t xml:space="preserve">A</w:t>
            </w:r>
          </w:p>
        </w:tc>
        <w:tc>
          <w:p>
            <w:pPr>
              <w:pStyle w:val="Compact"/>
              <w:jc w:val="right"/>
            </w:pPr>
            <w:r>
              <w:t xml:space="preserve">59</w:t>
            </w:r>
          </w:p>
        </w:tc>
        <w:tc>
          <w:p>
            <w:pPr>
              <w:pStyle w:val="Compact"/>
              <w:jc w:val="right"/>
            </w:pPr>
            <w:r>
              <w:t xml:space="preserve">12</w:t>
            </w:r>
          </w:p>
        </w:tc>
        <w:tc>
          <w:p>
            <w:pPr>
              <w:pStyle w:val="Compact"/>
              <w:jc w:val="right"/>
            </w:pPr>
            <w:r>
              <w:t xml:space="preserve">59</w:t>
            </w:r>
          </w:p>
        </w:tc>
        <w:tc>
          <w:p>
            <w:pPr>
              <w:pStyle w:val="Compact"/>
              <w:jc w:val="left"/>
            </w:pPr>
            <w:r>
              <w:t xml:space="preserve">24 (211)</w:t>
            </w:r>
          </w:p>
        </w:tc>
        <w:tc>
          <w:p>
            <w:pPr>
              <w:pStyle w:val="Compact"/>
              <w:jc w:val="right"/>
            </w:pPr>
            <w:r>
              <w:t xml:space="preserve">10</w:t>
            </w:r>
          </w:p>
        </w:tc>
        <w:tc>
          <w:p>
            <w:pPr>
              <w:pStyle w:val="Compact"/>
              <w:jc w:val="right"/>
            </w:pPr>
            <w:r>
              <w:t xml:space="preserve">4</w:t>
            </w:r>
          </w:p>
        </w:tc>
      </w:tr>
      <w:tr>
        <w:tc>
          <w:p>
            <w:pPr>
              <w:pStyle w:val="Compact"/>
              <w:jc w:val="left"/>
            </w:pPr>
            <w:r>
              <w:t xml:space="preserve">B</w:t>
            </w:r>
          </w:p>
        </w:tc>
        <w:tc>
          <w:p>
            <w:pPr>
              <w:pStyle w:val="Compact"/>
              <w:jc w:val="right"/>
            </w:pPr>
            <w:r>
              <w:t xml:space="preserve">45</w:t>
            </w:r>
          </w:p>
        </w:tc>
        <w:tc>
          <w:p>
            <w:pPr>
              <w:pStyle w:val="Compact"/>
              <w:jc w:val="right"/>
            </w:pPr>
            <w:r>
              <w:t xml:space="preserve">8</w:t>
            </w:r>
          </w:p>
        </w:tc>
        <w:tc>
          <w:p>
            <w:pPr>
              <w:pStyle w:val="Compact"/>
              <w:jc w:val="right"/>
            </w:pPr>
            <w:r>
              <w:t xml:space="preserve">29</w:t>
            </w:r>
          </w:p>
        </w:tc>
        <w:tc>
          <w:p>
            <w:pPr>
              <w:pStyle w:val="Compact"/>
              <w:jc w:val="left"/>
            </w:pPr>
            <w:r>
              <w:t xml:space="preserve">11 (108)</w:t>
            </w:r>
          </w:p>
        </w:tc>
        <w:tc>
          <w:p>
            <w:pPr>
              <w:pStyle w:val="Compact"/>
              <w:jc w:val="right"/>
            </w:pPr>
            <w:r>
              <w:t xml:space="preserve">12</w:t>
            </w:r>
          </w:p>
        </w:tc>
        <w:tc>
          <w:p>
            <w:pPr>
              <w:pStyle w:val="Compact"/>
              <w:jc w:val="right"/>
            </w:pPr>
            <w:r>
              <w:t xml:space="preserve">2</w:t>
            </w:r>
          </w:p>
        </w:tc>
      </w:tr>
      <w:tr>
        <w:tc>
          <w:p>
            <w:pPr>
              <w:pStyle w:val="Compact"/>
              <w:jc w:val="left"/>
            </w:pPr>
            <w:r>
              <w:t xml:space="preserve">C</w:t>
            </w:r>
          </w:p>
        </w:tc>
        <w:tc>
          <w:p>
            <w:pPr>
              <w:pStyle w:val="Compact"/>
              <w:jc w:val="right"/>
            </w:pPr>
            <w:r>
              <w:t xml:space="preserve">26</w:t>
            </w:r>
          </w:p>
        </w:tc>
        <w:tc>
          <w:p>
            <w:pPr>
              <w:pStyle w:val="Compact"/>
              <w:jc w:val="right"/>
            </w:pPr>
            <w:r>
              <w:t xml:space="preserve">6</w:t>
            </w:r>
          </w:p>
        </w:tc>
        <w:tc>
          <w:p>
            <w:pPr>
              <w:pStyle w:val="Compact"/>
              <w:jc w:val="right"/>
            </w:pPr>
            <w:r>
              <w:t xml:space="preserve">19</w:t>
            </w:r>
          </w:p>
        </w:tc>
        <w:tc>
          <w:p>
            <w:pPr>
              <w:pStyle w:val="Compact"/>
              <w:jc w:val="left"/>
            </w:pPr>
            <w:r>
              <w:t xml:space="preserve">7 (37)</w:t>
            </w:r>
          </w:p>
        </w:tc>
        <w:tc>
          <w:p>
            <w:pPr>
              <w:pStyle w:val="Compact"/>
              <w:jc w:val="right"/>
            </w:pPr>
            <w:r>
              <w:t xml:space="preserve">7</w:t>
            </w:r>
          </w:p>
        </w:tc>
        <w:tc>
          <w:p>
            <w:pPr>
              <w:pStyle w:val="Compact"/>
              <w:jc w:val="right"/>
            </w:pPr>
            <w:r>
              <w:t xml:space="preserve">1</w:t>
            </w:r>
          </w:p>
        </w:tc>
      </w:tr>
    </w:tbl>
    <w:bookmarkStart w:id="34"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where student analyse real biological data by themselves). These tutorials are interactive documents that recall main concepts, and take the students by the hand to perform their first data analysis step by step. At each step, they have at least one exercise or one quiz. The exercise consist in writing R code, or to fill missing parts in existing R code, in order to progress in the analysis.</w:t>
      </w:r>
    </w:p>
    <w:p>
      <w:pPr>
        <w:pStyle w:val="BodyText"/>
      </w:pPr>
      <w:r>
        <w:t xml:space="preserve">Our goal with these tutorials is to prepare the students optimally for the practice of data science. In the other hand, we do not want to exhaust their mental energy just before they start to work on their projects. The efficiency of these tutorials is qualitatively determined by observing the behaviour of the students when they start their practical work, but we have also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through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analysed and the result is compared with the solution. In case of differences, heuristics are used to provide contextual hints. Students can then refine their solution and resubmit it. This appears very efficient in self-teaching and self-evaluation of their competences before switching to the practice in confidence.</w:t>
      </w:r>
    </w:p>
    <w:p>
      <w:pPr>
        <w:pStyle w:val="CaptionedFigure"/>
      </w:pPr>
      <w:r>
        <w:drawing>
          <wp:inline>
            <wp:extent cx="5334000" cy="4267200"/>
            <wp:effectExtent b="0" l="0" r="0" t="0"/>
            <wp:docPr descr="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based on the average number of entries that where required for each student to find the right answer in learnr tutorials exercises. This indirect measure varies significantly between the 3 courses (ANOVA, F(2,109) = 3.655, p-value = 0.029). The students in course C need significantly fewer trials to find the right answer than students in courses A (Tukey HSD, t = -2.489, p-value = 0.0375) and B (Tukey HSD, t = 0.0474, p-value = 0.047)</w:t>
      </w:r>
    </w:p>
    <w:p>
      <w:pPr>
        <w:pStyle w:val="BodyText"/>
      </w:pPr>
      <w:r>
        <w:t xml:space="preserve">The perceived cognitive load required to perform these exercises is also a key aspect. This measure the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RTLX index. On the contrary, these appear significantly lower for course C than for course A (ANOVA, F(2,98) = 3.588, p-value = 0.031; Tukey HSD, t = -2.679, p-value = 0.023). The cognitive load perceived by the students diminishes at the same time their ability to find the right answer more rapidly. This may be a consequence of a more fluent R coding and the better mastering of the software environment.</w:t>
      </w:r>
    </w:p>
    <w:bookmarkEnd w:id="34"/>
    <w:bookmarkStart w:id="36" w:name="final-exam-versus-project"/>
    <w:p>
      <w:pPr>
        <w:pStyle w:val="Heading2"/>
      </w:pPr>
      <w:r>
        <w:t xml:space="preserve">Final exam</w:t>
      </w:r>
      <w:r>
        <w:t xml:space="preserve"> </w:t>
      </w:r>
      <w:r>
        <w:rPr>
          <w:iCs/>
          <w:i/>
        </w:rPr>
        <w:t xml:space="preserve">versus</w:t>
      </w:r>
      <w:r>
        <w:t xml:space="preserve"> </w:t>
      </w:r>
      <w:r>
        <w:t xml:space="preserve">project</w:t>
      </w:r>
    </w:p>
    <w:p>
      <w:pPr>
        <w:pStyle w:val="CaptionedFigure"/>
      </w:pPr>
      <w:r>
        <w:drawing>
          <wp:inline>
            <wp:extent cx="5334000" cy="2133600"/>
            <wp:effectExtent b="0" l="0" r="0" t="0"/>
            <wp:docPr descr="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In 2018-2019 and 2019-2020, the evaluation was based on the completion of a project and on a more conventional examination at the end of the term. The comparison of the grades obtained by each student for a project and a final exam shows only a weak correlation between these two types of evaluations [TODO: provide values here]. Year 2018-2019 marks the transition to a flipped classroom approach in our teaching of these data science courses. Only one student failed in the project, while almost one third of the same students failed their final exams. The difficulty of the project was similar to previous years, when the course was made of lectures followed by exercises (and when failure was not uncommon). The flipped classroom approach leaves more time in class to work on practical applications, to ask questions, to discuss results, … We hypothesize that the very low failure rate could be explained by a better preparation to practical data analysis, but not to the final exam.</w:t>
      </w:r>
    </w:p>
    <w:p>
      <w:pPr>
        <w:pStyle w:val="BodyText"/>
      </w:pPr>
      <w:r>
        <w:t xml:space="preserve">In 2019-2020, we raised a little bit the difficulty for the project,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the final examination includes a series of practical questions (requiring to write R code to analyse data, as in the projects), this type of assessment does not reflect the ability of the students to correctly process and analyse biological data as well as the project. Following these results, the final examination was abandoned for the year 2020-2021. It is replaced by a continuous evaluation of the students activity across all four level exercises, and especially in individual and group projects. Results obtained with this new approach are analysed in the following sections.</w:t>
      </w:r>
    </w:p>
    <w:bookmarkEnd w:id="36"/>
    <w:bookmarkStart w:id="38" w:name="X56ca80f0d4e6bdcf53356171e8acfa467453d81"/>
    <w:p>
      <w:pPr>
        <w:pStyle w:val="Heading2"/>
      </w:pPr>
      <w:r>
        <w:t xml:space="preserve">Students activity profiles in continuous evaluation</w:t>
      </w:r>
    </w:p>
    <w:p>
      <w:pPr>
        <w:pStyle w:val="FirstParagraph"/>
      </w:pPr>
      <w:r>
        <w:t xml:space="preserve">[TODO: indicate that only regular student are used in this study]</w:t>
      </w:r>
    </w:p>
    <w:p>
      <w:pPr>
        <w:pStyle w:val="BodyText"/>
      </w:pPr>
      <w:r>
        <w:t xml:space="preserve">In 2020-2021, to support the continuous evaluation method without final exam, the course material was enriched with exercises organized into four increasing difficulty levels, as presented in Table XXX. The activity of the students in level 1 (H5P) and 2 (learnr) exercises is directly recorded in a database. For the GitHub projects (levels 3 and 4 exercises), it is the git log data that are analysed. During lockdown periods, exchange with the students and answers to their questions were exclusively done by email, text or voice messages on Discord, either on private or public channels. Students were allowed to freely chose their favourite way to interact with the teachers and with each other. All these exchanges were recorded too. Finally, records in all activities were used to establish the final grade for the course.</w:t>
      </w:r>
    </w:p>
    <w:p>
      <w:pPr>
        <w:pStyle w:val="BodyText"/>
      </w:pPr>
      <w:r>
        <w:t xml:space="preserve">Final grade is the weighted average of the scores obtained at all four levels. The weight was adjusted from course to course according to the importance of the different projects, mainly. To give an idea, for course A second term, level 1 H5P exercises accounted for 5%, 10% for level 2 learnr tutorials, 35% for level 3 individual projects and 40% for level 4 group works. More weight is always put on projects. On average, each student received more than 130 assessments that accounted for the final grade. Two third of these assessments were established manually, using evaluation grids based on the reports they write using R Markdown [TODO: add a ref here] (.Rmd files, a literate programming system that allows to include computations directly inside the report) in their projects. The other third are scores automatically calculated from the various inline exercises.</w:t>
      </w:r>
    </w:p>
    <w:p>
      <w:pPr>
        <w:pStyle w:val="BodyText"/>
      </w:pPr>
      <w:r>
        <w:t xml:space="preserve">For the three courses, we recorded a total of more than 450,000 events, which makes on average almost 3,500 events for each student. These data contain information to characterize the behaviour and learning patterns that the students use. They are summarized into sixteen metrics.</w:t>
      </w:r>
    </w:p>
    <w:p>
      <w:pPr>
        <w:pStyle w:val="BodyText"/>
      </w:pPr>
      <w:r>
        <w:t xml:space="preserve">For H5P exercises:</w:t>
      </w:r>
    </w:p>
    <w:p>
      <w:pPr>
        <w:numPr>
          <w:ilvl w:val="0"/>
          <w:numId w:val="1003"/>
        </w:numPr>
        <w:pStyle w:val="Compact"/>
      </w:pPr>
      <w:r>
        <w:t xml:space="preserve">trials/H5P ex.: the average number of trials for each H5P exercise (students can retry as much as they wish and they have immediate feedback if their answer is correct or not),</w:t>
      </w:r>
    </w:p>
    <w:p>
      <w:pPr>
        <w:numPr>
          <w:ilvl w:val="0"/>
          <w:numId w:val="1003"/>
        </w:numPr>
        <w:pStyle w:val="Compact"/>
      </w:pPr>
      <w:r>
        <w:t xml:space="preserve">correct H5P ex.: the fraction of H5P exercises that were correctly answered,</w:t>
      </w:r>
    </w:p>
    <w:p>
      <w:pPr>
        <w:pStyle w:val="FirstParagraph"/>
      </w:pPr>
      <w:r>
        <w:t xml:space="preserve">For learnr tutorial exercises:</w:t>
      </w:r>
    </w:p>
    <w:p>
      <w:pPr>
        <w:numPr>
          <w:ilvl w:val="0"/>
          <w:numId w:val="1004"/>
        </w:numPr>
        <w:pStyle w:val="Compact"/>
      </w:pPr>
      <w:r>
        <w:t xml:space="preserve">trials/learnr ex.: the average number of trials for each learnr exercise (here also, students can retry as much as they want),</w:t>
      </w:r>
    </w:p>
    <w:p>
      <w:pPr>
        <w:numPr>
          <w:ilvl w:val="0"/>
          <w:numId w:val="1004"/>
        </w:numPr>
        <w:pStyle w:val="Compact"/>
      </w:pPr>
      <w:r>
        <w:t xml:space="preserve">hints/learnr ex.: in learnr exercises, students can display hints to help them to solve the problems (but they lose 10% of the score of the exercise for each hint they view). This is the average number of hints per exercise that were displayed,</w:t>
      </w:r>
    </w:p>
    <w:p>
      <w:pPr>
        <w:numPr>
          <w:ilvl w:val="0"/>
          <w:numId w:val="1004"/>
        </w:numPr>
        <w:pStyle w:val="Compact"/>
      </w:pPr>
      <w:r>
        <w:t xml:space="preserve">correct learnr ex.: the fraction of learnr exercises that were completed with a correct answer,</w:t>
      </w:r>
    </w:p>
    <w:p>
      <w:pPr>
        <w:numPr>
          <w:ilvl w:val="0"/>
          <w:numId w:val="1004"/>
        </w:numPr>
        <w:pStyle w:val="Compact"/>
      </w:pPr>
      <w:r>
        <w:t xml:space="preserve">time/learnr ex.: the average time required to finish one learnr exercise involving R code writing.</w:t>
      </w:r>
    </w:p>
    <w:p>
      <w:pPr>
        <w:pStyle w:val="FirstParagraph"/>
      </w:pPr>
      <w:r>
        <w:t xml:space="preserve">For individual and group projects:</w:t>
      </w:r>
    </w:p>
    <w:p>
      <w:pPr>
        <w:numPr>
          <w:ilvl w:val="0"/>
          <w:numId w:val="1005"/>
        </w:numPr>
        <w:pStyle w:val="Compact"/>
      </w:pPr>
      <w:r>
        <w:t xml:space="preserve">commits / ind. projects: the average number of commits done by a student in one individual project,</w:t>
      </w:r>
    </w:p>
    <w:p>
      <w:pPr>
        <w:numPr>
          <w:ilvl w:val="0"/>
          <w:numId w:val="1005"/>
        </w:numPr>
        <w:pStyle w:val="Compact"/>
      </w:pPr>
      <w:r>
        <w:t xml:space="preserve">contributions/ind. projects: the number of lines changed (added or subtracted) in an R Markdown report by one student in one individual project, on average,</w:t>
      </w:r>
    </w:p>
    <w:p>
      <w:pPr>
        <w:numPr>
          <w:ilvl w:val="0"/>
          <w:numId w:val="1005"/>
        </w:numPr>
        <w:pStyle w:val="Compact"/>
      </w:pPr>
      <w:r>
        <w:t xml:space="preserve">commits / group projects: same as above, but for group projects,</w:t>
      </w:r>
    </w:p>
    <w:p>
      <w:pPr>
        <w:numPr>
          <w:ilvl w:val="0"/>
          <w:numId w:val="1005"/>
        </w:numPr>
        <w:pStyle w:val="Compact"/>
      </w:pPr>
      <w:r>
        <w:t xml:space="preserve">contributions/group projects: same as above, but for group projects,</w:t>
      </w:r>
    </w:p>
    <w:p>
      <w:pPr>
        <w:numPr>
          <w:ilvl w:val="0"/>
          <w:numId w:val="1005"/>
        </w:numPr>
        <w:pStyle w:val="Compact"/>
      </w:pPr>
      <w:r>
        <w:t xml:space="preserve">percentage of contribution to group projects: the fraction of work the student did, relative to all the work done in group projects (still only counted for .Rmd files as the number of lines changed from one version to the other).</w:t>
      </w:r>
    </w:p>
    <w:p>
      <w:pPr>
        <w:pStyle w:val="FirstParagraph"/>
      </w:pPr>
      <w:r>
        <w:t xml:space="preserve">For support:</w:t>
      </w:r>
    </w:p>
    <w:p>
      <w:pPr>
        <w:numPr>
          <w:ilvl w:val="0"/>
          <w:numId w:val="1006"/>
        </w:numPr>
        <w:pStyle w:val="Compact"/>
      </w:pPr>
      <w:r>
        <w:t xml:space="preserve">questions/module: the number of questions student asked in total, divided by the number of modules in the course,</w:t>
      </w:r>
    </w:p>
    <w:p>
      <w:pPr>
        <w:numPr>
          <w:ilvl w:val="0"/>
          <w:numId w:val="1006"/>
        </w:numPr>
        <w:pStyle w:val="Compact"/>
      </w:pPr>
      <w:r>
        <w:t xml:space="preserve">percent of public question: the fraction of questions that the student posted in a public channel (a channel dedicated to the course that all the other students of the class can read),</w:t>
      </w:r>
    </w:p>
    <w:p>
      <w:pPr>
        <w:numPr>
          <w:ilvl w:val="0"/>
          <w:numId w:val="1006"/>
        </w:numPr>
        <w:pStyle w:val="Compact"/>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7"/>
        </w:numPr>
        <w:pStyle w:val="Compact"/>
      </w:pPr>
      <w:r>
        <w:t xml:space="preserve">work done: the fraction of all exercises that the student finished,</w:t>
      </w:r>
    </w:p>
    <w:p>
      <w:pPr>
        <w:numPr>
          <w:ilvl w:val="0"/>
          <w:numId w:val="1007"/>
        </w:numPr>
        <w:pStyle w:val="Compact"/>
      </w:pPr>
      <w:r>
        <w:t xml:space="preserve">work done in time: the fraction the the exercises done in the right time, that is, during the proposed calendar.</w:t>
      </w:r>
    </w:p>
    <w:p>
      <w:pPr>
        <w:pStyle w:val="FirstParagraph"/>
      </w:pPr>
      <w:r>
        <w:t xml:space="preserve">[TODO: supplementary data: distribution of the metrics and correlation between them]</w:t>
      </w:r>
    </w:p>
    <w:p>
      <w:pPr>
        <w:pStyle w:val="BodyText"/>
      </w:pPr>
      <w:r>
        <w:t xml:space="preserve">A Kohonen’s self-organizing map is used to create student profiles according to their activities, see Fig. XXX. A 3x3 hexagonal cells pattern was chosen, and students are thus classified into nine different classes.</w:t>
      </w:r>
    </w:p>
    <w:p>
      <w:pPr>
        <w:pStyle w:val="CaptionedFigure"/>
      </w:pPr>
      <w:r>
        <w:drawing>
          <wp:inline>
            <wp:extent cx="5334000" cy="4267200"/>
            <wp:effectExtent b="0" l="0" r="0" t="0"/>
            <wp:docPr descr="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Self-organizing map of the student activities across the three courses (year 2020-2021). See the text for the explanations.</w:t>
      </w:r>
    </w:p>
    <w:p>
      <w:pPr>
        <w:pStyle w:val="BodyText"/>
      </w:pPr>
      <w:r>
        <w:t xml:space="preserve">In Fig xxx, the small plots in gray show how selected metrics distribute in the nine cells, from lowest value in white to highest value in black. They help to decrypt the way students behave according to their profile. Metrics that are not represented present similar patterns than others (for instance H5P metrics exhibit a similar pattern as learnr metrics and therefore, they are not represented). Dots in the central plot are the various students, with colour representing the course and the diameter of the dots representing the grade the students obtained at the end of the course. The following paragraphs details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 that did only a very small part of the exercises. These students obtained very low grades, of course. They belong to courses A and B. On the other hand, heavy workers are at the bottom (I &amp; J), and good performers in learnrs (C) are in cells (5-9).</w:t>
      </w:r>
    </w:p>
    <w:p>
      <w:pPr>
        <w:numPr>
          <w:ilvl w:val="0"/>
          <w:numId w:val="1008"/>
        </w:numPr>
      </w:pPr>
      <w:r>
        <w:t xml:space="preserve">Besides the absent students of cell (3), cells (2 and 6) collect students that seldom ask questions (E), and that rarely appear on the public channel (G). Minor differences separate them. For instance, cell (2) sometimes use learnr hints (B), while cell (6) never does,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It is interesting to note that the cell (2) -more difficulties with learnr tutorials- are mainly students of course A, while cell (6) contains students of courses B and C. There is a clear evolution in their behaviour from one course to the other in term of ease in front of the exercises, even if they remain silent in term of teacher interactions.</w:t>
      </w:r>
    </w:p>
    <w:p>
      <w:pPr>
        <w:numPr>
          <w:ilvl w:val="0"/>
          <w:numId w:val="1008"/>
        </w:numPr>
      </w:pPr>
      <w:r>
        <w:t xml:space="preserve">Among the students that have hard time to figure out the answers to auto-evaluation exercises, cell (1) reassemble people that most heavily rely on learnr hints (B), and also are among those who need to retry those exercises more often before figuring out the correct answer (A), a characteristic they share with cell (4). These students also ask a lot of questions (E), both on the public and private channels (G, mid gray).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8"/>
        </w:numPr>
      </w:pPr>
      <w:r>
        <w:t xml:space="preserve">All these cells (1-4 plus 6) are students that exhibits sub-optimal behaviours in one or the other way. The remaining cells (5 &amp; 7-9) correspond to students that perform better from this point of view. Cell (5) has a majority of people from course A, but otherwise, also from course B and C. These are average actors in all categories, except they are fluent with level 1 (H5P, not shown) and level 2 (learnr, C) exercises.</w:t>
      </w:r>
    </w:p>
    <w:p>
      <w:pPr>
        <w:numPr>
          <w:ilvl w:val="0"/>
          <w:numId w:val="1008"/>
        </w:numPr>
      </w:pPr>
      <w:r>
        <w:t xml:space="preserve">Moving from cell (5) to (7), (8) and (9), we encounter increasingly top performers. The number of students from course A becomes progressively lower, while course B, and especially C dominate in these groups. Cell (7) use largely the public channel (G) and respect the schedule quite well (H) as main difference from those from cell (5). Students in cells (8) and (9) are not so much in time, but this is because they are heavier workers in the projects, both in the individuals (I) and in the groups (J) activities. This needs obviously more time. In cell (9) we have also the students that contributes the most to the reports in term of lines added or deleted (F).</w:t>
      </w:r>
    </w:p>
    <w:p>
      <w:pPr>
        <w:pStyle w:val="FirstParagraph"/>
      </w:pPr>
      <w:r>
        <w:t xml:space="preserve">In overall, at the top of the SOM, cells (1-4, plus 6) contain students with not optimal behaviour, cell (5) are average students, and cells (7-9) at the bottom exhibit profiles corresponding to best performers. The pattern is also visible between courses A (mainly distributed at the top or centre) to B and C (more represented at the bottom). This suggests that students need time to get used to the course, its pedagogical approach, and/or the software environment they have to use.</w:t>
      </w:r>
    </w:p>
    <w:bookmarkEnd w:id="38"/>
    <w:bookmarkStart w:id="40"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analyse the activity collected during academic years 2019-2020 and 2020-2021 to assess the impact of these transition on the progression of the students (contributions they make to the projects per time unit). One academic term is divided here into seven work periods of approximately two weeks (remind that it is the rhythm of the courses: one module every second week). The classes of the second term of the year 2019-2020 start at period Y1P09, since period Y1P08 is reserved for the exams. The courses of the first term of 2020-2021 begins at Y2P01. First lockdown started at period Y1P11 for one month and an half. Second lockdown stared at Y2P03 and lasted at then end of the second term (Y2P15). During the first lockdown, we rapidly opened the dedicated Discord channels and a common email address for all teachers was installed for a faster reaction.</w:t>
      </w:r>
    </w:p>
    <w:p>
      <w:pPr>
        <w:pStyle w:val="CaptionedFigure"/>
      </w:pPr>
      <w:r>
        <w:drawing>
          <wp:inline>
            <wp:extent cx="5334000" cy="4800600"/>
            <wp:effectExtent b="0" l="0" r="0" t="0"/>
            <wp:docPr descr="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3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w:t>
      </w:r>
    </w:p>
    <w:p>
      <w:pPr>
        <w:pStyle w:val="BodyText"/>
      </w:pPr>
      <w:r>
        <w:t xml:space="preserve">[TODO: this paragraph must be adapted and reworked!] The contributions to the reports remains relatively proportional to the number of questions the students sent by email or Discord messages, no matter the period and the intensity of the work as indicated by the number of modules to be completed during the period, all three courses pooled together. Only the number of students that ask questions by there channels change between face-to-face and distance teaching (much less in face-to-face because most of the students ask their questions directly in the classroom). Transition from direct interaction to electronic exchange was quasi immediate during lockdown. Consequently, support provided by the teachers in distance learning … to be continued.</w:t>
      </w:r>
    </w:p>
    <w:bookmarkEnd w:id="40"/>
    <w:bookmarkEnd w:id="41"/>
    <w:bookmarkStart w:id="4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 Our basic approach is to extend the training on a very long period: five successive terms spanning on three consecutive years (undergraduate and graduate). That way, the many different concepts they have to learn can be break down into subunits (26 modules) that last for two week each. We also used flipped classrooms and blended course, with an emphasis on proactive exchange with the teachers: students have to ask questions to progress.</w:t>
      </w:r>
    </w:p>
    <w:p>
      <w:pPr>
        <w:pStyle w:val="BodyText"/>
      </w:pPr>
      <w:r>
        <w:t xml:space="preserve">Our students are more used to a traditional approach made of lectures followed by exercises where important concepts are repeated at the beginning of the practical sessions. They tend to have a passive attitude during lectures and they expect the teachers and assistants literally feed them with the key concepts. That attitude does not work here. Poactivity and autonomy is required. They have thus to learn a very different way of learning. The transition between the theory they read in the book and the projects where they have to apply these concepts is too abrupt without a progression in three stages essentially: (1) auto-evaluation exercises directly in the book, (2) recall of the main concepts and guided step-by-step analysis of a first dataset with the learnr tutorials and (3) at least one guided individual project with another dataset. The middle task, the learnr tutorial, was immediately spotted by our students as a key activity in 2018-2019. So, we have focused our attention on these documents in the following years. In 2020-2021, we have also tested the addition of an heuristic engine (gradethis) to provide contextual feedback on the errors students make in their answers. The RTLX index measured in 2020-2021 will serve in the future as reference to work towards correctly designed tutorials, with lower perceived workload without sacrificing the content. The significant decrease in RTLX value from course A to C indicates that there a still a margin of progression. We would like to see this decrease sooner, perhaps already in the second course.</w:t>
      </w:r>
    </w:p>
    <w:p>
      <w:pPr>
        <w:pStyle w:val="BodyText"/>
      </w:pPr>
      <w:r>
        <w:t xml:space="preserve">Ultimately, the task that better evaluates their practical skills in biological data analysis is the group project because they have to demonstrate what they can do with a dataset and minimal instructions. They have to figure out a suitable question, analyse the data to answer that question, present their results in a report and discuss what they found with a critical mind. This task is complex, especially for undergraduate students. That is why it is run in groups of two to four students, depending on the complexity of the problem. Here, they mobilize their collective intelligence to get results many of them would be hardly capable to achieve alone. Yet, the tracking of individual activity in the project through git allows to figure out clearly what was the contribution of each student in the group and to score their individual contributions in a suitable way.</w:t>
      </w:r>
    </w:p>
    <w:p>
      <w:pPr>
        <w:pStyle w:val="BodyText"/>
      </w:pPr>
      <w:r>
        <w:t xml:space="preserve">Sometimes, groups do not work well, and one student has to do most of the work. This is a clear weakness in this approach, especially if one of the students in Fig XXX cell (3) is involved. If we could identify the profile of the different students relatively early during the course, we would be able to create better grouping with a blend of different complimentary profiles in order to enrich their experience. May be should we work exclusively with groups of four students to mitigate the impact of one student that does not its job?</w:t>
      </w:r>
    </w:p>
    <w:p>
      <w:pPr>
        <w:pStyle w:val="BodyText"/>
      </w:pPr>
      <w:r>
        <w:t xml:space="preserve">Those group projects are also key activities to evaluate the competences of ours students. We observed a very low correlation between performances in projects and grading obtained at final exams. This led us to stop final exams, at the benefit of a continuous evaluation with highest weight in the final grade for group projects. It requires to set up a system to monitor and score the students’ activity in all the exercises, either by automatic scoring of online exercises, or by using an evaluation grid for manual assessment of their projects. This is time-consuming but the partial automatic scoring lowers the charge. It would be interesting to design tools that could second teachers in these assessments. For instance, reproducible research is one of the competences our students have to develop. This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offers also the possibility to study the way student progress in the material. Classification of the students according to their behaviour is an interesting approach. It paves the way toward a more inclusive pedagogy by spotting different kinds of sub-optimal behaviours (not asking questions, looking at hints without searching much by oneself the answer, being shy to discuss problems on public channels, …) Once these sub-optimal patterns are evidenced, we can think of counter-measures. For instance, we will test public channels were teachers never post. However, they can read the discussions between students. In case of errors, the teacher contact the student privately to explain what is wrong. Then that student would have to come back with a correction. Their error is thus not publicly spotted by the teacher, and the student has the resposibility to reexplain to its siblings. This approach was very successful with our</w:t>
      </w:r>
      <w:r>
        <w:t xml:space="preserve"> </w:t>
      </w:r>
      <w:r>
        <w:t xml:space="preserve">“</w:t>
      </w:r>
      <w:r>
        <w:t xml:space="preserve">eleve-assitants</w:t>
      </w:r>
      <w:r>
        <w:t xml:space="preserve">”</w:t>
      </w:r>
      <w:r>
        <w:t xml:space="preserve"> </w:t>
      </w:r>
      <w:r>
        <w:t xml:space="preserve">(students from higher classes that have brilliantly succeeded in the course one or two years before and that second the teachers).</w:t>
      </w:r>
    </w:p>
    <w:p>
      <w:pPr>
        <w:pStyle w:val="BodyText"/>
      </w:pPr>
      <w:r>
        <w:t xml:space="preserve">With tools like the self-organizing map, we should be able to predict student profiles early during the courses in order to spot the problematic patterns much faster. That way, we could engage specific discussions with the concerned students to determine the cause of the problems and try to solve them before it is too late. With this tool, we certainly enter in a differential pedagogical approach, which is one key to more inclusive teaching [ref needed here]. Emotional state of the students and motivation are also very important. Validated questionnaires, like NASA-LTX, or [….complete here] allow us to assess these aspect.</w:t>
      </w:r>
    </w:p>
    <w:p>
      <w:pPr>
        <w:pStyle w:val="BodyText"/>
      </w:pPr>
      <w:r>
        <w:t xml:space="preserve">[I still have to write a paragraph that discusses the results regarding the timing events around covid-19 lockdown periods and their implications….]</w:t>
      </w:r>
    </w:p>
    <w:bookmarkEnd w:id="42"/>
    <w:bookmarkStart w:id="44" w:name="conclusion"/>
    <w:p>
      <w:pPr>
        <w:pStyle w:val="Heading1"/>
      </w:pPr>
      <w:r>
        <w:t xml:space="preserve">Conclusion</w:t>
      </w:r>
    </w:p>
    <w:p>
      <w:pPr>
        <w:pStyle w:val="FirstParagraph"/>
      </w:pPr>
      <w:r>
        <w:t xml:space="preserve">Teaching data science comes with specific challenges. The discipline is quite young and we still are seeking the best pedagogical approach. After three years of teaching data science to undergraduate and graduate students in a cursus in biology with revised pedagogical practices, we have our first cohort that has followed all three courses. There are still two optional courses in second Master if they want to push their data science skills further on. However, these three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biological data science on the way learners manage data and data analysis will be observable during the following years. We will observe how these students apply their skills in their master thesis, and later, in their career or during their PhD thesis. In the meantime, we will continue to improve our courses by further exploiting the data we accumulated on the student activities. Experience gathered during forced distance learning during Covid-19 lockdown will be used too to improve our courses. The radical changes that were required in that particular context showed that students can accomodate to a large extent, but also that a diversification of the activities is beneficial [citer Spadofora et Marini 2018]. Speaking about diversification, we have succesfully tested in 2020-2021 a kaggle-like challenge (</w:t>
      </w:r>
      <w:hyperlink r:id="rId43">
        <w:r>
          <w:rPr>
            <w:rStyle w:val="Hyperlink"/>
          </w:rPr>
          <w:t xml:space="preserve">https://www.kaggle.com/competitions</w:t>
        </w:r>
      </w:hyperlink>
      <w:r>
        <w:t xml:space="preserve">) in one of the machine learning modules. Such more ludic activities would also contribute to the diversification of pedagogical practices, interest and motivation of the students [refs needed if possible]. We would also be happy to share experience with other teachers in data science. All together, we are asked to shape the post-covid teaching landscape, and it will probably be quite different to what we are using today!</w:t>
      </w:r>
    </w:p>
    <w:bookmarkEnd w:id="44"/>
    <w:bookmarkStart w:id="81" w:name="references"/>
    <w:p>
      <w:pPr>
        <w:pStyle w:val="Heading1"/>
      </w:pPr>
      <w:r>
        <w:t xml:space="preserve">References</w:t>
      </w:r>
    </w:p>
    <w:bookmarkStart w:id="80" w:name="refs"/>
    <w:bookmarkStart w:id="46" w:name="ref-Auker2020"/>
    <w:p>
      <w:pPr>
        <w:pStyle w:val="Bibliography"/>
      </w:pPr>
      <w:r>
        <w:t xml:space="preserve">Auker, Linda A., and Erika L. Barthelmess. 2020.</w:t>
      </w:r>
      <w:r>
        <w:t xml:space="preserve"> </w:t>
      </w:r>
      <w:r>
        <w:t xml:space="preserve">“</w:t>
      </w:r>
      <w:r>
        <w:t xml:space="preserve">Teaching R in the undergraduate ecology classroom: approaches, lessons learned, and recommendations</w:t>
      </w:r>
      <w:r>
        <w:t xml:space="preserve">.”</w:t>
      </w:r>
      <w:r>
        <w:t xml:space="preserve"> </w:t>
      </w:r>
      <w:r>
        <w:rPr>
          <w:iCs/>
          <w:i/>
        </w:rPr>
        <w:t xml:space="preserve">Ecosphere</w:t>
      </w:r>
      <w:r>
        <w:t xml:space="preserve"> </w:t>
      </w:r>
      <w:r>
        <w:t xml:space="preserve">11 (4): e03060. https://doi.org/</w:t>
      </w:r>
      <w:hyperlink r:id="rId45">
        <w:r>
          <w:rPr>
            <w:rStyle w:val="Hyperlink"/>
          </w:rPr>
          <w:t xml:space="preserve">https://doi.org/10.1002/ecs2.3060</w:t>
        </w:r>
      </w:hyperlink>
      <w:r>
        <w:t xml:space="preserve">.</w:t>
      </w:r>
    </w:p>
    <w:bookmarkEnd w:id="46"/>
    <w:bookmarkStart w:id="48" w:name="ref-Baker2016"/>
    <w:p>
      <w:pPr>
        <w:pStyle w:val="Bibliography"/>
      </w:pPr>
      <w:r>
        <w:t xml:space="preserve">Baker, Monya. 2016.</w:t>
      </w:r>
      <w:r>
        <w:t xml:space="preserve"> </w:t>
      </w:r>
      <w:r>
        <w:t xml:space="preserve">“1,500 Scientists Lift the Lid on Reproducibility.”</w:t>
      </w:r>
      <w:r>
        <w:t xml:space="preserve"> </w:t>
      </w:r>
      <w:r>
        <w:rPr>
          <w:iCs/>
          <w:i/>
        </w:rPr>
        <w:t xml:space="preserve">Nature</w:t>
      </w:r>
      <w:r>
        <w:t xml:space="preserve"> </w:t>
      </w:r>
      <w:r>
        <w:t xml:space="preserve">533 (7604): 452–54.</w:t>
      </w:r>
      <w:r>
        <w:t xml:space="preserve"> </w:t>
      </w:r>
      <w:hyperlink r:id="rId47">
        <w:r>
          <w:rPr>
            <w:rStyle w:val="Hyperlink"/>
          </w:rPr>
          <w:t xml:space="preserve">https://doi.org/10.1038/533452a</w:t>
        </w:r>
      </w:hyperlink>
      <w:r>
        <w:t xml:space="preserve">.</w:t>
      </w:r>
    </w:p>
    <w:bookmarkEnd w:id="48"/>
    <w:bookmarkStart w:id="50" w:name="ref-Banks2019"/>
    <w:p>
      <w:pPr>
        <w:pStyle w:val="Bibliography"/>
      </w:pPr>
      <w:r>
        <w:t xml:space="preserve">Banks, George C., James G. Field, Frederick L. Oswald, Ernest H. O’Boyle, Ronald S. Landis, Deborah E. Rupp, and Steven G. Rogelberg. 2019.</w:t>
      </w:r>
      <w:r>
        <w:t xml:space="preserve"> </w:t>
      </w:r>
      <w:r>
        <w:t xml:space="preserve">“</w:t>
      </w:r>
      <w:r>
        <w:t xml:space="preserve">Answers to 18 Questions About Open Science Practices</w:t>
      </w:r>
      <w:r>
        <w:t xml:space="preserve">.”</w:t>
      </w:r>
      <w:r>
        <w:t xml:space="preserve"> </w:t>
      </w:r>
      <w:r>
        <w:rPr>
          <w:iCs/>
          <w:i/>
        </w:rPr>
        <w:t xml:space="preserve">Journal of Business and Psychology</w:t>
      </w:r>
      <w:r>
        <w:t xml:space="preserve"> </w:t>
      </w:r>
      <w:r>
        <w:t xml:space="preserve">34 (3): 257–70.</w:t>
      </w:r>
      <w:r>
        <w:t xml:space="preserve"> </w:t>
      </w:r>
      <w:hyperlink r:id="rId49">
        <w:r>
          <w:rPr>
            <w:rStyle w:val="Hyperlink"/>
          </w:rPr>
          <w:t xml:space="preserve">https://doi.org/10.1007/s10869-018-9547-8</w:t>
        </w:r>
      </w:hyperlink>
      <w:r>
        <w:t xml:space="preserve">.</w:t>
      </w:r>
    </w:p>
    <w:bookmarkEnd w:id="50"/>
    <w:bookmarkStart w:id="52" w:name="ref-Baumer2014"/>
    <w:p>
      <w:pPr>
        <w:pStyle w:val="Bibliography"/>
      </w:pPr>
      <w:r>
        <w:t xml:space="preserve">Baumer, Ben, Mine Cetinkaya-Rundel, Andrew Bray, Linda Loi, and Nicholas J. Horton. 2014.</w:t>
      </w:r>
      <w:r>
        <w:t xml:space="preserve"> </w:t>
      </w:r>
      <w:r>
        <w:t xml:space="preserve">“</w:t>
      </w:r>
      <w:r>
        <w:t xml:space="preserve">R Markdown: Integrating A Reproducible Analysis Tool into Introductory Statistics</w:t>
      </w:r>
      <w:r>
        <w:t xml:space="preserve">.”</w:t>
      </w:r>
      <w:r>
        <w:t xml:space="preserve"> </w:t>
      </w:r>
      <w:r>
        <w:rPr>
          <w:iCs/>
          <w:i/>
        </w:rPr>
        <w:t xml:space="preserve">Technology Innovations in Statistics Education</w:t>
      </w:r>
      <w:r>
        <w:t xml:space="preserve"> </w:t>
      </w:r>
      <w:r>
        <w:t xml:space="preserve">8 (1).</w:t>
      </w:r>
      <w:r>
        <w:t xml:space="preserve"> </w:t>
      </w:r>
      <w:hyperlink r:id="rId51">
        <w:r>
          <w:rPr>
            <w:rStyle w:val="Hyperlink"/>
          </w:rPr>
          <w:t xml:space="preserve">https://doi.org/10.5070/t581020118</w:t>
        </w:r>
      </w:hyperlink>
      <w:r>
        <w:t xml:space="preserve">.</w:t>
      </w:r>
    </w:p>
    <w:bookmarkEnd w:id="52"/>
    <w:bookmarkStart w:id="54" w:name="ref-Boettiger2015"/>
    <w:p>
      <w:pPr>
        <w:pStyle w:val="Bibliography"/>
      </w:pPr>
      <w:r>
        <w:t xml:space="preserve">Boettiger, Carl. 2015.</w:t>
      </w:r>
      <w:r>
        <w:t xml:space="preserve"> </w:t>
      </w:r>
      <w:r>
        <w:t xml:space="preserve">“</w:t>
      </w:r>
      <w:r>
        <w:t xml:space="preserve">An Introduction to Docker for Reproducible Research</w:t>
      </w:r>
      <w:r>
        <w:t xml:space="preserve">.”</w:t>
      </w:r>
      <w:r>
        <w:t xml:space="preserve"> </w:t>
      </w:r>
      <w:r>
        <w:rPr>
          <w:iCs/>
          <w:i/>
        </w:rPr>
        <w:t xml:space="preserve">SIGOPS Oper. Syst. Rev.</w:t>
      </w:r>
      <w:r>
        <w:t xml:space="preserve"> </w:t>
      </w:r>
      <w:r>
        <w:t xml:space="preserve">49 (1): 71–79.</w:t>
      </w:r>
      <w:r>
        <w:t xml:space="preserve"> </w:t>
      </w:r>
      <w:hyperlink r:id="rId53">
        <w:r>
          <w:rPr>
            <w:rStyle w:val="Hyperlink"/>
          </w:rPr>
          <w:t xml:space="preserve">https://doi.org/10.1145/2723872.2723882</w:t>
        </w:r>
      </w:hyperlink>
      <w:r>
        <w:t xml:space="preserve">.</w:t>
      </w:r>
    </w:p>
    <w:bookmarkEnd w:id="54"/>
    <w:bookmarkStart w:id="55" w:name="ref-Byers1989"/>
    <w:p>
      <w:pPr>
        <w:pStyle w:val="Bibliography"/>
      </w:pPr>
      <w:r>
        <w:t xml:space="preserve">Byers, J C, A Bittner, and S Hill. 1989.</w:t>
      </w:r>
      <w:r>
        <w:t xml:space="preserve"> </w:t>
      </w:r>
      <w:r>
        <w:t xml:space="preserve">“</w:t>
      </w:r>
      <w:r>
        <w:t xml:space="preserve">Traditional and raw task load index (TLX) correlations: Are paired comparisons necessary? In A</w:t>
      </w:r>
      <w:r>
        <w:t xml:space="preserve">.”</w:t>
      </w:r>
      <w:r>
        <w:t xml:space="preserve"> </w:t>
      </w:r>
      <w:r>
        <w:t xml:space="preserve">In.</w:t>
      </w:r>
    </w:p>
    <w:bookmarkEnd w:id="55"/>
    <w:bookmarkStart w:id="57" w:name="ref-Cetinkaya-Rundel2021"/>
    <w:p>
      <w:pPr>
        <w:pStyle w:val="Bibliography"/>
      </w:pPr>
      <w:r>
        <w:t xml:space="preserve">Çetinkaya-Rundel, Mine, and Victoria Ellison. 2021.</w:t>
      </w:r>
      <w:r>
        <w:t xml:space="preserve"> </w:t>
      </w:r>
      <w:r>
        <w:t xml:space="preserve">“</w:t>
      </w:r>
      <w:r>
        <w:t xml:space="preserve">A Fresh Look at Introductory Data Science</w:t>
      </w:r>
      <w:r>
        <w:t xml:space="preserve">.”</w:t>
      </w:r>
      <w:r>
        <w:t xml:space="preserve"> </w:t>
      </w:r>
      <w:r>
        <w:rPr>
          <w:iCs/>
          <w:i/>
        </w:rPr>
        <w:t xml:space="preserve">Journal of Statistics Education</w:t>
      </w:r>
      <w:r>
        <w:t xml:space="preserve"> </w:t>
      </w:r>
      <w:r>
        <w:t xml:space="preserve">0 (0): 1–27.</w:t>
      </w:r>
      <w:r>
        <w:t xml:space="preserve"> </w:t>
      </w:r>
      <w:hyperlink r:id="rId56">
        <w:r>
          <w:rPr>
            <w:rStyle w:val="Hyperlink"/>
          </w:rPr>
          <w:t xml:space="preserve">https://doi.org/10.1080/10691898.2020.1804497</w:t>
        </w:r>
      </w:hyperlink>
      <w:r>
        <w:t xml:space="preserve">.</w:t>
      </w:r>
    </w:p>
    <w:bookmarkEnd w:id="57"/>
    <w:bookmarkStart w:id="59" w:name="ref-Cetinkaya-Rundel2018"/>
    <w:p>
      <w:pPr>
        <w:pStyle w:val="Bibliography"/>
      </w:pPr>
      <w:r>
        <w:t xml:space="preserve">Çetinkaya-Rundel, Mine, and Colin Rundel. 2018.</w:t>
      </w:r>
      <w:r>
        <w:t xml:space="preserve"> </w:t>
      </w:r>
      <w:r>
        <w:t xml:space="preserve">“</w:t>
      </w:r>
      <w:r>
        <w:t xml:space="preserve">Infrastructure and Tools for Teaching Computing Throughout the Statistical Curriculum</w:t>
      </w:r>
      <w:r>
        <w:t xml:space="preserve">.”</w:t>
      </w:r>
      <w:r>
        <w:t xml:space="preserve"> </w:t>
      </w:r>
      <w:r>
        <w:rPr>
          <w:iCs/>
          <w:i/>
        </w:rPr>
        <w:t xml:space="preserve">American Statistician</w:t>
      </w:r>
      <w:r>
        <w:t xml:space="preserve"> </w:t>
      </w:r>
      <w:r>
        <w:t xml:space="preserve">72 (1): 58–65.</w:t>
      </w:r>
      <w:r>
        <w:t xml:space="preserve"> </w:t>
      </w:r>
      <w:hyperlink r:id="rId58">
        <w:r>
          <w:rPr>
            <w:rStyle w:val="Hyperlink"/>
          </w:rPr>
          <w:t xml:space="preserve">https://doi.org/10.1080/00031305.2017.1397549</w:t>
        </w:r>
      </w:hyperlink>
      <w:r>
        <w:t xml:space="preserve">.</w:t>
      </w:r>
    </w:p>
    <w:bookmarkEnd w:id="59"/>
    <w:bookmarkStart w:id="61" w:name="ref-Donoho2017"/>
    <w:p>
      <w:pPr>
        <w:pStyle w:val="Bibliography"/>
      </w:pPr>
      <w:r>
        <w:t xml:space="preserve">Donoho, David. 2017.</w:t>
      </w:r>
      <w:r>
        <w:t xml:space="preserve"> </w:t>
      </w:r>
      <w:r>
        <w:t xml:space="preserve">“</w:t>
      </w:r>
      <w:r>
        <w:t xml:space="preserve">50 Years of Data Science</w:t>
      </w:r>
      <w:r>
        <w:t xml:space="preserve">.”</w:t>
      </w:r>
      <w:r>
        <w:t xml:space="preserve"> </w:t>
      </w:r>
      <w:r>
        <w:rPr>
          <w:iCs/>
          <w:i/>
        </w:rPr>
        <w:t xml:space="preserve">Journal of Computational and Graphical Statistics</w:t>
      </w:r>
      <w:r>
        <w:t xml:space="preserve"> </w:t>
      </w:r>
      <w:r>
        <w:t xml:space="preserve">26 (4): 745–66.</w:t>
      </w:r>
      <w:r>
        <w:t xml:space="preserve"> </w:t>
      </w:r>
      <w:hyperlink r:id="rId60">
        <w:r>
          <w:rPr>
            <w:rStyle w:val="Hyperlink"/>
          </w:rPr>
          <w:t xml:space="preserve">https://doi.org/10.1080/10618600.2017.1384734</w:t>
        </w:r>
      </w:hyperlink>
      <w:r>
        <w:t xml:space="preserve">.</w:t>
      </w:r>
    </w:p>
    <w:bookmarkEnd w:id="61"/>
    <w:bookmarkStart w:id="63" w:name="ref-Estrellado2020"/>
    <w:p>
      <w:pPr>
        <w:pStyle w:val="Bibliography"/>
      </w:pPr>
      <w:r>
        <w:t xml:space="preserve">Estrellado, Ryan A., Emily A. Bovee, Jesse Mostipak, Joshua M. Rosenberg, and Isabella C. Velásquez. 2020.</w:t>
      </w:r>
      <w:r>
        <w:t xml:space="preserve"> </w:t>
      </w:r>
      <w:r>
        <w:rPr>
          <w:iCs/>
          <w:i/>
        </w:rPr>
        <w:t xml:space="preserve">Data science in education using R</w:t>
      </w:r>
      <w:r>
        <w:t xml:space="preserve">. London, England: Routledge.</w:t>
      </w:r>
      <w:r>
        <w:t xml:space="preserve"> </w:t>
      </w:r>
      <w:hyperlink r:id="rId62">
        <w:r>
          <w:rPr>
            <w:rStyle w:val="Hyperlink"/>
          </w:rPr>
          <w:t xml:space="preserve">https://datascienceineducation.com/</w:t>
        </w:r>
      </w:hyperlink>
      <w:r>
        <w:t xml:space="preserve">.</w:t>
      </w:r>
    </w:p>
    <w:bookmarkEnd w:id="63"/>
    <w:bookmarkStart w:id="65" w:name="ref-Fiksel2019"/>
    <w:p>
      <w:pPr>
        <w:pStyle w:val="Bibliography"/>
      </w:pPr>
      <w:r>
        <w:t xml:space="preserve">Fiksel, Jacob, Leah R. Jager, Johannna S. Johanna S Hardin, and Margaret A. Taub. 2019.</w:t>
      </w:r>
      <w:r>
        <w:t xml:space="preserve"> </w:t>
      </w:r>
      <w:r>
        <w:t xml:space="preserve">“</w:t>
      </w:r>
      <w:r>
        <w:t xml:space="preserve">Using GitHub Classroom To Teach Statistics</w:t>
      </w:r>
      <w:r>
        <w:t xml:space="preserve">.”</w:t>
      </w:r>
      <w:r>
        <w:t xml:space="preserve"> </w:t>
      </w:r>
      <w:r>
        <w:rPr>
          <w:iCs/>
          <w:i/>
        </w:rPr>
        <w:t xml:space="preserve">Journal of Statistics Education</w:t>
      </w:r>
      <w:r>
        <w:t xml:space="preserve"> </w:t>
      </w:r>
      <w:r>
        <w:t xml:space="preserve">27 (2): 110–19.</w:t>
      </w:r>
      <w:r>
        <w:t xml:space="preserve"> </w:t>
      </w:r>
      <w:hyperlink r:id="rId64">
        <w:r>
          <w:rPr>
            <w:rStyle w:val="Hyperlink"/>
          </w:rPr>
          <w:t xml:space="preserve">https://doi.org/10.1080/10691898.2019.1617089</w:t>
        </w:r>
      </w:hyperlink>
      <w:r>
        <w:t xml:space="preserve">.</w:t>
      </w:r>
    </w:p>
    <w:bookmarkEnd w:id="65"/>
    <w:bookmarkStart w:id="67" w:name="ref-Freeman2014"/>
    <w:p>
      <w:pPr>
        <w:pStyle w:val="Bibliography"/>
      </w:pPr>
      <w:r>
        <w:t xml:space="preserve">Freeman, Scott, Sarah L. Eddy, Miles McDonough, Michelle K. Smith, Nnadozie Okoroafor, Hannah Jordt, and Mary Pat Wenderoth. 2014.</w:t>
      </w:r>
      <w:r>
        <w:t xml:space="preserve"> </w:t>
      </w:r>
      <w:r>
        <w:t xml:space="preserve">“</w:t>
      </w:r>
      <w:r>
        <w:t xml:space="preserve">Active learning increases student performance in science, engineering, and mathematics</w:t>
      </w:r>
      <w:r>
        <w:t xml:space="preserve">.”</w:t>
      </w:r>
      <w:r>
        <w:t xml:space="preserve"> </w:t>
      </w:r>
      <w:r>
        <w:rPr>
          <w:iCs/>
          <w:i/>
        </w:rPr>
        <w:t xml:space="preserve">Proceedings of the National Academy of Sciences</w:t>
      </w:r>
      <w:r>
        <w:t xml:space="preserve"> </w:t>
      </w:r>
      <w:r>
        <w:t xml:space="preserve">111 (23): 8410–15.</w:t>
      </w:r>
      <w:r>
        <w:t xml:space="preserve"> </w:t>
      </w:r>
      <w:hyperlink r:id="rId66">
        <w:r>
          <w:rPr>
            <w:rStyle w:val="Hyperlink"/>
          </w:rPr>
          <w:t xml:space="preserve">https://doi.org/10.1073/PNAS.1319030111</w:t>
        </w:r>
      </w:hyperlink>
      <w:r>
        <w:t xml:space="preserve">.</w:t>
      </w:r>
    </w:p>
    <w:bookmarkEnd w:id="67"/>
    <w:bookmarkStart w:id="69" w:name="ref-Hart1988"/>
    <w:p>
      <w:pPr>
        <w:pStyle w:val="Bibliography"/>
      </w:pPr>
      <w:r>
        <w:t xml:space="preserve">Hart, Sandra G., and Lowell E. Staveland. 1988.</w:t>
      </w:r>
      <w:r>
        <w:t xml:space="preserve"> </w:t>
      </w:r>
      <w:r>
        <w:t xml:space="preserve">“</w:t>
      </w:r>
      <w:r>
        <w:t xml:space="preserve">Development of NASA-TLX (Task Load Index): Results of Empirical and Theoretical Research</w:t>
      </w:r>
      <w:r>
        <w:t xml:space="preserve">.”</w:t>
      </w:r>
      <w:r>
        <w:t xml:space="preserve"> </w:t>
      </w:r>
      <w:r>
        <w:rPr>
          <w:iCs/>
          <w:i/>
        </w:rPr>
        <w:t xml:space="preserve">Advances in Psychology</w:t>
      </w:r>
      <w:r>
        <w:t xml:space="preserve"> </w:t>
      </w:r>
      <w:r>
        <w:t xml:space="preserve">52 (C): 139–83.</w:t>
      </w:r>
      <w:r>
        <w:t xml:space="preserve"> </w:t>
      </w:r>
      <w:hyperlink r:id="rId68">
        <w:r>
          <w:rPr>
            <w:rStyle w:val="Hyperlink"/>
          </w:rPr>
          <w:t xml:space="preserve">https://doi.org/10.1016/S0166-4115(08)62386-9</w:t>
        </w:r>
      </w:hyperlink>
      <w:r>
        <w:t xml:space="preserve">.</w:t>
      </w:r>
    </w:p>
    <w:bookmarkEnd w:id="69"/>
    <w:bookmarkStart w:id="71" w:name="ref-Hsing2019"/>
    <w:p>
      <w:pPr>
        <w:pStyle w:val="Bibliography"/>
      </w:pPr>
      <w:r>
        <w:t xml:space="preserve">Hsing, Courtney, and Vanessa Gennarelli. 2019.</w:t>
      </w:r>
      <w:r>
        <w:t xml:space="preserve"> </w:t>
      </w:r>
      <w:r>
        <w:t xml:space="preserve">“</w:t>
      </w:r>
      <w:r>
        <w:t xml:space="preserve">Using GitHub in the Classroom Predicts Student Learning Outcomes and Classroom Experiences: Findings from a Survey of Students and Teachers</w:t>
      </w:r>
      <w:r>
        <w:t xml:space="preserve">.”</w:t>
      </w:r>
      <w:r>
        <w:t xml:space="preserve"> </w:t>
      </w:r>
      <w:r>
        <w:t xml:space="preserve">In</w:t>
      </w:r>
      <w:r>
        <w:t xml:space="preserve"> </w:t>
      </w:r>
      <w:r>
        <w:rPr>
          <w:iCs/>
          <w:i/>
        </w:rPr>
        <w:t xml:space="preserve">Proceedings of the 50th ACM Technical Symposium on Computer Science Education</w:t>
      </w:r>
      <w:r>
        <w:t xml:space="preserve">, 672–78. SIGCSE ’19. New York, NY, USA: Association for Computing Machinery.</w:t>
      </w:r>
      <w:r>
        <w:t xml:space="preserve"> </w:t>
      </w:r>
      <w:hyperlink r:id="rId70">
        <w:r>
          <w:rPr>
            <w:rStyle w:val="Hyperlink"/>
          </w:rPr>
          <w:t xml:space="preserve">https://doi.org/10.1145/3287324.3287460</w:t>
        </w:r>
      </w:hyperlink>
      <w:r>
        <w:t xml:space="preserve">.</w:t>
      </w:r>
    </w:p>
    <w:bookmarkEnd w:id="71"/>
    <w:bookmarkStart w:id="73" w:name="ref-Krathwohl2002"/>
    <w:p>
      <w:pPr>
        <w:pStyle w:val="Bibliography"/>
      </w:pPr>
      <w:r>
        <w:t xml:space="preserve">Krathwohl, David R. 2002.</w:t>
      </w:r>
      <w:r>
        <w:t xml:space="preserve"> </w:t>
      </w:r>
      <w:r>
        <w:t xml:space="preserve">“</w:t>
      </w:r>
      <w:r>
        <w:t xml:space="preserve">A Revision of Bloom’ s Taxonomy: An otherview</w:t>
      </w:r>
      <w:r>
        <w:t xml:space="preserve">.”</w:t>
      </w:r>
      <w:r>
        <w:t xml:space="preserve"> </w:t>
      </w:r>
      <w:r>
        <w:rPr>
          <w:iCs/>
          <w:i/>
        </w:rPr>
        <w:t xml:space="preserve">Theory Into Practice</w:t>
      </w:r>
      <w:r>
        <w:t xml:space="preserve"> </w:t>
      </w:r>
      <w:r>
        <w:t xml:space="preserve">41 (4): 212–18.</w:t>
      </w:r>
      <w:r>
        <w:t xml:space="preserve"> </w:t>
      </w:r>
      <w:hyperlink r:id="rId72">
        <w:r>
          <w:rPr>
            <w:rStyle w:val="Hyperlink"/>
          </w:rPr>
          <w:t xml:space="preserve">https://doi.org/10.1207/s15430421tip4104</w:t>
        </w:r>
      </w:hyperlink>
      <w:r>
        <w:t xml:space="preserve">.</w:t>
      </w:r>
    </w:p>
    <w:bookmarkEnd w:id="73"/>
    <w:bookmarkStart w:id="75" w:name="ref-Larwin2011"/>
    <w:p>
      <w:pPr>
        <w:pStyle w:val="Bibliography"/>
      </w:pPr>
      <w:r>
        <w:t xml:space="preserve">Larwin, Karen, and David Larwin. 2011.</w:t>
      </w:r>
      <w:r>
        <w:t xml:space="preserve"> </w:t>
      </w:r>
      <w:r>
        <w:t xml:space="preserve">“</w:t>
      </w:r>
      <w:r>
        <w:t xml:space="preserve">A meta-analysis examining the impact of computer-assisted instruction on postsecondary statistics education: 40 years of research</w:t>
      </w:r>
      <w:r>
        <w:t xml:space="preserve">.”</w:t>
      </w:r>
      <w:r>
        <w:t xml:space="preserve"> </w:t>
      </w:r>
      <w:r>
        <w:rPr>
          <w:iCs/>
          <w:i/>
        </w:rPr>
        <w:t xml:space="preserve">Journal of Research on Technology in Education</w:t>
      </w:r>
      <w:r>
        <w:t xml:space="preserve"> </w:t>
      </w:r>
      <w:r>
        <w:t xml:space="preserve">43 (3): 253–78.</w:t>
      </w:r>
      <w:r>
        <w:t xml:space="preserve"> </w:t>
      </w:r>
      <w:hyperlink r:id="rId74">
        <w:r>
          <w:rPr>
            <w:rStyle w:val="Hyperlink"/>
          </w:rPr>
          <w:t xml:space="preserve">https://doi.org/10.1080/15391523.2011.10782572</w:t>
        </w:r>
      </w:hyperlink>
      <w:r>
        <w:t xml:space="preserve">.</w:t>
      </w:r>
    </w:p>
    <w:bookmarkEnd w:id="75"/>
    <w:bookmarkStart w:id="77" w:name="ref-Marx2013"/>
    <w:p>
      <w:pPr>
        <w:pStyle w:val="Bibliography"/>
      </w:pPr>
      <w:r>
        <w:t xml:space="preserve">Marx, Vivien. 2013.</w:t>
      </w:r>
      <w:r>
        <w:t xml:space="preserve"> </w:t>
      </w:r>
      <w:r>
        <w:t xml:space="preserve">“</w:t>
      </w:r>
      <w:r>
        <w:t xml:space="preserve">The big challenges of big data</w:t>
      </w:r>
      <w:r>
        <w:t xml:space="preserve">.”</w:t>
      </w:r>
      <w:r>
        <w:t xml:space="preserve"> </w:t>
      </w:r>
      <w:r>
        <w:rPr>
          <w:iCs/>
          <w:i/>
        </w:rPr>
        <w:t xml:space="preserve">Nature</w:t>
      </w:r>
      <w:r>
        <w:t xml:space="preserve"> </w:t>
      </w:r>
      <w:r>
        <w:t xml:space="preserve">498 (7453): 255–60.</w:t>
      </w:r>
      <w:r>
        <w:t xml:space="preserve"> </w:t>
      </w:r>
      <w:hyperlink r:id="rId76">
        <w:r>
          <w:rPr>
            <w:rStyle w:val="Hyperlink"/>
          </w:rPr>
          <w:t xml:space="preserve">https://doi.org/10.1038/498255a</w:t>
        </w:r>
      </w:hyperlink>
      <w:r>
        <w:t xml:space="preserve">.</w:t>
      </w:r>
    </w:p>
    <w:bookmarkEnd w:id="77"/>
    <w:bookmarkStart w:id="79" w:name="ref-Onwuegbuzie2003"/>
    <w:p>
      <w:pPr>
        <w:pStyle w:val="Bibliography"/>
      </w:pPr>
      <w:r>
        <w:t xml:space="preserve">Onwuegbuzie, Anthony J., and Vicki A. Wilson. 2003.</w:t>
      </w:r>
      <w:r>
        <w:t xml:space="preserve"> </w:t>
      </w:r>
      <w:r>
        <w:t xml:space="preserve">“</w:t>
      </w:r>
      <w:r>
        <w:t xml:space="preserve">Statistics Anxiety: Nature, etiology, antecedents, effects, and treatments–a comprehensive review of the literature</w:t>
      </w:r>
      <w:r>
        <w:t xml:space="preserve">.”</w:t>
      </w:r>
      <w:r>
        <w:t xml:space="preserve"> </w:t>
      </w:r>
      <w:r>
        <w:rPr>
          <w:iCs/>
          <w:i/>
        </w:rPr>
        <w:t xml:space="preserve">Teaching in Higher Education</w:t>
      </w:r>
      <w:r>
        <w:t xml:space="preserve"> </w:t>
      </w:r>
      <w:r>
        <w:t xml:space="preserve">8 (2): 195–209.</w:t>
      </w:r>
      <w:r>
        <w:t xml:space="preserve"> </w:t>
      </w:r>
      <w:hyperlink r:id="rId78">
        <w:r>
          <w:rPr>
            <w:rStyle w:val="Hyperlink"/>
          </w:rPr>
          <w:t xml:space="preserve">https://doi.org/10.1080/1356251032000052447</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0" Target="http://bds.sciviews.org" TargetMode="External" /><Relationship Type="http://schemas.openxmlformats.org/officeDocument/2006/relationships/hyperlink" Id="rId26" Target="http://jhudatascience.org/chromebookdatascience/"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62" Target="https://datascienceineducation.com/" TargetMode="External" /><Relationship Type="http://schemas.openxmlformats.org/officeDocument/2006/relationships/hyperlink" Id="rId45" Target="https://doi.org/10.1002/ecs2.3060" TargetMode="External" /><Relationship Type="http://schemas.openxmlformats.org/officeDocument/2006/relationships/hyperlink" Id="rId49" Target="https://doi.org/10.1007/s10869-018-9547-8" TargetMode="External" /><Relationship Type="http://schemas.openxmlformats.org/officeDocument/2006/relationships/hyperlink" Id="rId68" Target="https://doi.org/10.1016/S0166-4115(08)62386-9" TargetMode="External" /><Relationship Type="http://schemas.openxmlformats.org/officeDocument/2006/relationships/hyperlink" Id="rId76" Target="https://doi.org/10.1038/498255a" TargetMode="External" /><Relationship Type="http://schemas.openxmlformats.org/officeDocument/2006/relationships/hyperlink" Id="rId47" Target="https://doi.org/10.1038/533452a" TargetMode="External" /><Relationship Type="http://schemas.openxmlformats.org/officeDocument/2006/relationships/hyperlink" Id="rId66" Target="https://doi.org/10.1073/PNAS.1319030111" TargetMode="External" /><Relationship Type="http://schemas.openxmlformats.org/officeDocument/2006/relationships/hyperlink" Id="rId58" Target="https://doi.org/10.1080/00031305.2017.1397549" TargetMode="External" /><Relationship Type="http://schemas.openxmlformats.org/officeDocument/2006/relationships/hyperlink" Id="rId60" Target="https://doi.org/10.1080/10618600.2017.1384734" TargetMode="External" /><Relationship Type="http://schemas.openxmlformats.org/officeDocument/2006/relationships/hyperlink" Id="rId64" Target="https://doi.org/10.1080/10691898.2019.1617089" TargetMode="External" /><Relationship Type="http://schemas.openxmlformats.org/officeDocument/2006/relationships/hyperlink" Id="rId56" Target="https://doi.org/10.1080/10691898.2020.1804497" TargetMode="External" /><Relationship Type="http://schemas.openxmlformats.org/officeDocument/2006/relationships/hyperlink" Id="rId78" Target="https://doi.org/10.1080/1356251032000052447" TargetMode="External" /><Relationship Type="http://schemas.openxmlformats.org/officeDocument/2006/relationships/hyperlink" Id="rId74" Target="https://doi.org/10.1080/15391523.2011.10782572" TargetMode="External" /><Relationship Type="http://schemas.openxmlformats.org/officeDocument/2006/relationships/hyperlink" Id="rId53" Target="https://doi.org/10.1145/2723872.2723882" TargetMode="External" /><Relationship Type="http://schemas.openxmlformats.org/officeDocument/2006/relationships/hyperlink" Id="rId70" Target="https://doi.org/10.1145/3287324.3287460" TargetMode="External" /><Relationship Type="http://schemas.openxmlformats.org/officeDocument/2006/relationships/hyperlink" Id="rId72" Target="https://doi.org/10.1207/s15430421tip4104" TargetMode="External" /><Relationship Type="http://schemas.openxmlformats.org/officeDocument/2006/relationships/hyperlink" Id="rId51"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9" Target="https://moodle.umons.ac.be" TargetMode="External" /><Relationship Type="http://schemas.openxmlformats.org/officeDocument/2006/relationships/hyperlink" Id="rId25" Target="https://rstudio.cloud/" TargetMode="External" /><Relationship Type="http://schemas.openxmlformats.org/officeDocument/2006/relationships/hyperlink" Id="rId28" Target="https://wp.sciviews.org" TargetMode="External" /><Relationship Type="http://schemas.openxmlformats.org/officeDocument/2006/relationships/hyperlink" Id="rId43" Target="https://www.kaggle.com/competitions" TargetMode="External" /><Relationship Type="http://schemas.openxmlformats.org/officeDocument/2006/relationships/hyperlink" Id="rId30" Target="https://www.sciviews.org/learnitdown/"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6" Target="http://jhudatascience.org/chromebookdatascience/"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62" Target="https://datascienceineducation.com/" TargetMode="External" /><Relationship Type="http://schemas.openxmlformats.org/officeDocument/2006/relationships/hyperlink" Id="rId45" Target="https://doi.org/10.1002/ecs2.3060" TargetMode="External" /><Relationship Type="http://schemas.openxmlformats.org/officeDocument/2006/relationships/hyperlink" Id="rId49" Target="https://doi.org/10.1007/s10869-018-9547-8" TargetMode="External" /><Relationship Type="http://schemas.openxmlformats.org/officeDocument/2006/relationships/hyperlink" Id="rId68" Target="https://doi.org/10.1016/S0166-4115(08)62386-9" TargetMode="External" /><Relationship Type="http://schemas.openxmlformats.org/officeDocument/2006/relationships/hyperlink" Id="rId76" Target="https://doi.org/10.1038/498255a" TargetMode="External" /><Relationship Type="http://schemas.openxmlformats.org/officeDocument/2006/relationships/hyperlink" Id="rId47" Target="https://doi.org/10.1038/533452a" TargetMode="External" /><Relationship Type="http://schemas.openxmlformats.org/officeDocument/2006/relationships/hyperlink" Id="rId66" Target="https://doi.org/10.1073/PNAS.1319030111" TargetMode="External" /><Relationship Type="http://schemas.openxmlformats.org/officeDocument/2006/relationships/hyperlink" Id="rId58" Target="https://doi.org/10.1080/00031305.2017.1397549" TargetMode="External" /><Relationship Type="http://schemas.openxmlformats.org/officeDocument/2006/relationships/hyperlink" Id="rId60" Target="https://doi.org/10.1080/10618600.2017.1384734" TargetMode="External" /><Relationship Type="http://schemas.openxmlformats.org/officeDocument/2006/relationships/hyperlink" Id="rId64" Target="https://doi.org/10.1080/10691898.2019.1617089" TargetMode="External" /><Relationship Type="http://schemas.openxmlformats.org/officeDocument/2006/relationships/hyperlink" Id="rId56" Target="https://doi.org/10.1080/10691898.2020.1804497" TargetMode="External" /><Relationship Type="http://schemas.openxmlformats.org/officeDocument/2006/relationships/hyperlink" Id="rId78" Target="https://doi.org/10.1080/1356251032000052447" TargetMode="External" /><Relationship Type="http://schemas.openxmlformats.org/officeDocument/2006/relationships/hyperlink" Id="rId74" Target="https://doi.org/10.1080/15391523.2011.10782572" TargetMode="External" /><Relationship Type="http://schemas.openxmlformats.org/officeDocument/2006/relationships/hyperlink" Id="rId53" Target="https://doi.org/10.1145/2723872.2723882" TargetMode="External" /><Relationship Type="http://schemas.openxmlformats.org/officeDocument/2006/relationships/hyperlink" Id="rId70" Target="https://doi.org/10.1145/3287324.3287460" TargetMode="External" /><Relationship Type="http://schemas.openxmlformats.org/officeDocument/2006/relationships/hyperlink" Id="rId72" Target="https://doi.org/10.1207/s15430421tip4104" TargetMode="External" /><Relationship Type="http://schemas.openxmlformats.org/officeDocument/2006/relationships/hyperlink" Id="rId51"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9" Target="https://moodle.umons.ac.be" TargetMode="External" /><Relationship Type="http://schemas.openxmlformats.org/officeDocument/2006/relationships/hyperlink" Id="rId25" Target="https://rstudio.cloud/" TargetMode="External" /><Relationship Type="http://schemas.openxmlformats.org/officeDocument/2006/relationships/hyperlink" Id="rId28" Target="https://wp.sciviews.org" TargetMode="External" /><Relationship Type="http://schemas.openxmlformats.org/officeDocument/2006/relationships/hyperlink" Id="rId43" Target="https://www.kaggle.com/competitions" TargetMode="External" /><Relationship Type="http://schemas.openxmlformats.org/officeDocument/2006/relationships/hyperlink" Id="rId30" Target="https://www.sciviews.org/learnit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2021-07-06T13:27:54Z</dcterms:created>
  <dcterms:modified xsi:type="dcterms:W3CDTF">2021-07-06T13:27:54Z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