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80E38" w14:textId="78DAFA35" w:rsidR="00846B46" w:rsidRDefault="00846B46" w:rsidP="00A3785C">
      <w:pPr>
        <w:ind w:firstLineChars="0" w:firstLine="420"/>
      </w:pPr>
      <w:r>
        <w:t>单位点检测用于评估单个</w:t>
      </w:r>
      <w:r>
        <w:t>SNP</w:t>
      </w:r>
      <w:r>
        <w:t>的遗传效应，其主要目标是确定该</w:t>
      </w:r>
      <w:r>
        <w:t>SNP</w:t>
      </w:r>
      <w:r>
        <w:t>与复杂性状之间的潜在关联。通过分析</w:t>
      </w:r>
      <w:r>
        <w:t>SNP</w:t>
      </w:r>
      <w:r>
        <w:t>的基因型与目标性状的关系，可以揭示特定基因位点对性状的</w:t>
      </w:r>
      <w:r w:rsidR="00757405">
        <w:rPr>
          <w:rFonts w:hint="eastAsia"/>
        </w:rPr>
        <w:t>贡献</w:t>
      </w:r>
      <w:r>
        <w:t>。下表汇总了常用的单位点检测方法，说明了每种方法的主要优点及其局限性。</w:t>
      </w:r>
    </w:p>
    <w:p w14:paraId="205BFA1E" w14:textId="77777777" w:rsidR="00B86FCD" w:rsidRPr="00F32371" w:rsidRDefault="00B86FCD" w:rsidP="00B86FCD">
      <w:pPr>
        <w:spacing w:line="240" w:lineRule="auto"/>
        <w:ind w:firstLineChars="0"/>
        <w:jc w:val="center"/>
        <w:rPr>
          <w:b/>
          <w:sz w:val="21"/>
          <w:szCs w:val="21"/>
        </w:rPr>
      </w:pPr>
      <w:r w:rsidRPr="00F32371">
        <w:rPr>
          <w:b/>
          <w:sz w:val="21"/>
          <w:szCs w:val="21"/>
        </w:rPr>
        <w:t>表</w:t>
      </w:r>
      <w:r w:rsidRPr="00F32371"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主要的单位点检测方法</w:t>
      </w:r>
    </w:p>
    <w:p w14:paraId="03970ECB" w14:textId="77777777" w:rsidR="00B86FCD" w:rsidRPr="00F32371" w:rsidRDefault="00B86FCD" w:rsidP="00B86FCD">
      <w:pPr>
        <w:spacing w:line="240" w:lineRule="auto"/>
        <w:ind w:firstLine="422"/>
        <w:jc w:val="center"/>
        <w:rPr>
          <w:b/>
          <w:sz w:val="21"/>
        </w:rPr>
      </w:pPr>
      <w:r w:rsidRPr="00F32371">
        <w:rPr>
          <w:b/>
          <w:sz w:val="21"/>
          <w:szCs w:val="21"/>
        </w:rPr>
        <w:t>Table</w:t>
      </w:r>
      <w:r w:rsidRPr="00F32371">
        <w:rPr>
          <w:rFonts w:hint="eastAsia"/>
          <w:b/>
          <w:sz w:val="21"/>
          <w:szCs w:val="21"/>
        </w:rPr>
        <w:t xml:space="preserve"> </w:t>
      </w:r>
      <w:r w:rsidRPr="00846B46">
        <w:rPr>
          <w:b/>
          <w:sz w:val="21"/>
          <w:szCs w:val="21"/>
        </w:rPr>
        <w:t>Major single-marker detection methods</w:t>
      </w:r>
    </w:p>
    <w:tbl>
      <w:tblPr>
        <w:tblW w:w="5000" w:type="pct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2"/>
        <w:gridCol w:w="3618"/>
        <w:gridCol w:w="3242"/>
      </w:tblGrid>
      <w:tr w:rsidR="00B86FCD" w:rsidRPr="00F32371" w14:paraId="26B6715D" w14:textId="77777777" w:rsidTr="006E4F6B">
        <w:trPr>
          <w:cantSplit/>
        </w:trPr>
        <w:tc>
          <w:tcPr>
            <w:tcW w:w="975" w:type="pct"/>
            <w:shd w:val="clear" w:color="auto" w:fill="auto"/>
            <w:noWrap/>
            <w:vAlign w:val="center"/>
          </w:tcPr>
          <w:p w14:paraId="551F3692" w14:textId="77777777" w:rsidR="00B86FCD" w:rsidRPr="00F32371" w:rsidRDefault="00B86FCD" w:rsidP="006E4F6B">
            <w:pPr>
              <w:spacing w:line="240" w:lineRule="atLeast"/>
              <w:ind w:firstLine="360"/>
              <w:jc w:val="center"/>
              <w:rPr>
                <w:rFonts w:eastAsiaTheme="minorEastAsia" w:cs="Times New Roman"/>
                <w:sz w:val="18"/>
                <w:szCs w:val="18"/>
              </w:rPr>
            </w:pPr>
            <w:r>
              <w:rPr>
                <w:rFonts w:eastAsiaTheme="minorEastAsia" w:cs="Times New Roman" w:hint="eastAsia"/>
                <w:sz w:val="18"/>
                <w:szCs w:val="18"/>
              </w:rPr>
              <w:t>方法</w:t>
            </w:r>
          </w:p>
        </w:tc>
        <w:tc>
          <w:tcPr>
            <w:tcW w:w="2123" w:type="pct"/>
            <w:noWrap/>
            <w:vAlign w:val="center"/>
          </w:tcPr>
          <w:p w14:paraId="297D5B0D" w14:textId="77777777" w:rsidR="00B86FCD" w:rsidRPr="00F32371" w:rsidRDefault="00B86FCD" w:rsidP="006E4F6B">
            <w:pPr>
              <w:spacing w:line="240" w:lineRule="atLeast"/>
              <w:ind w:firstLine="360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主要优点</w:t>
            </w:r>
          </w:p>
        </w:tc>
        <w:tc>
          <w:tcPr>
            <w:tcW w:w="1902" w:type="pct"/>
            <w:shd w:val="clear" w:color="auto" w:fill="auto"/>
            <w:noWrap/>
            <w:vAlign w:val="center"/>
          </w:tcPr>
          <w:p w14:paraId="491ADDA9" w14:textId="77777777" w:rsidR="00B86FCD" w:rsidRPr="00F32371" w:rsidRDefault="00B86FCD" w:rsidP="006E4F6B">
            <w:pPr>
              <w:spacing w:line="240" w:lineRule="atLeast"/>
              <w:ind w:firstLine="360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局限性</w:t>
            </w:r>
          </w:p>
        </w:tc>
      </w:tr>
      <w:tr w:rsidR="00B86FCD" w:rsidRPr="00F32371" w14:paraId="7B864AB2" w14:textId="77777777" w:rsidTr="006E4F6B">
        <w:trPr>
          <w:cantSplit/>
        </w:trPr>
        <w:tc>
          <w:tcPr>
            <w:tcW w:w="975" w:type="pct"/>
            <w:shd w:val="clear" w:color="auto" w:fill="auto"/>
            <w:noWrap/>
            <w:vAlign w:val="center"/>
          </w:tcPr>
          <w:p w14:paraId="4027D5E0" w14:textId="77777777" w:rsidR="00B86FCD" w:rsidRDefault="00B86FCD" w:rsidP="006E4F6B">
            <w:pPr>
              <w:spacing w:line="240" w:lineRule="atLeast"/>
              <w:ind w:firstLine="360"/>
              <w:jc w:val="center"/>
              <w:rPr>
                <w:rFonts w:eastAsiaTheme="minorEastAsia" w:cs="Times New Roman"/>
                <w:sz w:val="18"/>
                <w:szCs w:val="18"/>
              </w:rPr>
            </w:pPr>
            <w:r w:rsidRPr="00EC2C2E">
              <w:rPr>
                <w:rFonts w:eastAsia="等线" w:cs="Times New Roman" w:hint="eastAsia"/>
                <w:sz w:val="18"/>
                <w:szCs w:val="18"/>
              </w:rPr>
              <w:t>卡方检验</w:t>
            </w:r>
          </w:p>
        </w:tc>
        <w:tc>
          <w:tcPr>
            <w:tcW w:w="2123" w:type="pct"/>
            <w:noWrap/>
            <w:vAlign w:val="center"/>
          </w:tcPr>
          <w:p w14:paraId="5344CB17" w14:textId="77777777" w:rsidR="00B86FCD" w:rsidRDefault="00B86FCD" w:rsidP="006E4F6B">
            <w:pPr>
              <w:spacing w:line="240" w:lineRule="atLeast"/>
              <w:ind w:firstLine="360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EC2C2E">
              <w:rPr>
                <w:rFonts w:eastAsia="等线" w:cs="Times New Roman" w:hint="eastAsia"/>
                <w:sz w:val="18"/>
                <w:szCs w:val="18"/>
              </w:rPr>
              <w:t>广泛的适用性</w:t>
            </w:r>
            <w:r>
              <w:rPr>
                <w:rFonts w:eastAsia="等线" w:cs="Times New Roman" w:hint="eastAsia"/>
                <w:sz w:val="18"/>
                <w:szCs w:val="18"/>
              </w:rPr>
              <w:t>，</w:t>
            </w:r>
            <w:r w:rsidRPr="00A10100">
              <w:rPr>
                <w:rFonts w:eastAsia="等线" w:cs="Times New Roman" w:hint="eastAsia"/>
                <w:sz w:val="18"/>
                <w:szCs w:val="18"/>
              </w:rPr>
              <w:t>不依赖参数假设</w:t>
            </w:r>
          </w:p>
        </w:tc>
        <w:tc>
          <w:tcPr>
            <w:tcW w:w="1902" w:type="pct"/>
            <w:shd w:val="clear" w:color="auto" w:fill="auto"/>
            <w:noWrap/>
            <w:vAlign w:val="center"/>
          </w:tcPr>
          <w:p w14:paraId="11300D98" w14:textId="77777777" w:rsidR="00B86FCD" w:rsidRDefault="00B86FCD" w:rsidP="006E4F6B">
            <w:pPr>
              <w:spacing w:line="240" w:lineRule="atLeast"/>
              <w:ind w:firstLine="360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EC2C2E">
              <w:rPr>
                <w:rFonts w:eastAsia="等线" w:cs="Times New Roman" w:hint="eastAsia"/>
                <w:sz w:val="18"/>
                <w:szCs w:val="18"/>
              </w:rPr>
              <w:t>无法有效控制混杂因素</w:t>
            </w:r>
          </w:p>
        </w:tc>
      </w:tr>
      <w:tr w:rsidR="00B86FCD" w:rsidRPr="00F32371" w14:paraId="5819D130" w14:textId="77777777" w:rsidTr="006E4F6B">
        <w:trPr>
          <w:cantSplit/>
        </w:trPr>
        <w:tc>
          <w:tcPr>
            <w:tcW w:w="975" w:type="pct"/>
            <w:shd w:val="clear" w:color="auto" w:fill="auto"/>
            <w:noWrap/>
            <w:vAlign w:val="center"/>
          </w:tcPr>
          <w:p w14:paraId="69EC7DA1" w14:textId="77777777" w:rsidR="00B86FCD" w:rsidRPr="00F32371" w:rsidRDefault="00B86FCD" w:rsidP="006E4F6B">
            <w:pPr>
              <w:spacing w:line="240" w:lineRule="atLeast"/>
              <w:ind w:firstLineChars="0" w:firstLine="0"/>
              <w:jc w:val="center"/>
              <w:rPr>
                <w:rFonts w:eastAsiaTheme="minorEastAsia" w:cs="Times New Roman"/>
                <w:bCs/>
                <w:sz w:val="18"/>
                <w:szCs w:val="18"/>
              </w:rPr>
            </w:pPr>
            <w:r w:rsidRPr="00E57819">
              <w:rPr>
                <w:rFonts w:eastAsia="等线" w:cs="Times New Roman" w:hint="eastAsia"/>
                <w:sz w:val="18"/>
                <w:szCs w:val="18"/>
              </w:rPr>
              <w:t>Logistic</w:t>
            </w:r>
            <w:r w:rsidRPr="00E57819">
              <w:rPr>
                <w:rFonts w:eastAsia="等线" w:cs="Times New Roman" w:hint="eastAsia"/>
                <w:sz w:val="18"/>
                <w:szCs w:val="18"/>
              </w:rPr>
              <w:t>回归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 w14:paraId="309C8A24" w14:textId="77777777" w:rsidR="00B86FCD" w:rsidRPr="00F32371" w:rsidRDefault="00B86FCD" w:rsidP="006E4F6B">
            <w:pPr>
              <w:spacing w:line="240" w:lineRule="atLeast"/>
              <w:ind w:firstLine="360"/>
              <w:jc w:val="center"/>
              <w:rPr>
                <w:rFonts w:eastAsia="等线" w:cs="Times New Roman"/>
                <w:sz w:val="18"/>
                <w:szCs w:val="18"/>
              </w:rPr>
            </w:pPr>
            <w:r w:rsidRPr="00E57819">
              <w:rPr>
                <w:rFonts w:eastAsia="等线" w:cs="Times New Roman" w:hint="eastAsia"/>
                <w:sz w:val="18"/>
                <w:szCs w:val="18"/>
              </w:rPr>
              <w:t>能控制协变量</w:t>
            </w:r>
            <w:r>
              <w:rPr>
                <w:rFonts w:eastAsia="等线" w:cs="Times New Roman" w:hint="eastAsia"/>
                <w:sz w:val="18"/>
                <w:szCs w:val="18"/>
              </w:rPr>
              <w:t>，可解释性好</w:t>
            </w:r>
            <w:r w:rsidRPr="00F32371">
              <w:rPr>
                <w:rFonts w:eastAsia="等线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02" w:type="pct"/>
            <w:shd w:val="clear" w:color="auto" w:fill="auto"/>
            <w:noWrap/>
            <w:vAlign w:val="center"/>
          </w:tcPr>
          <w:p w14:paraId="006C5C33" w14:textId="77777777" w:rsidR="00B86FCD" w:rsidRPr="00F32371" w:rsidRDefault="00B86FCD" w:rsidP="006E4F6B">
            <w:pPr>
              <w:spacing w:line="240" w:lineRule="atLeast"/>
              <w:ind w:firstLineChars="0" w:firstLine="0"/>
              <w:rPr>
                <w:rFonts w:eastAsiaTheme="minorEastAsia" w:cs="Times New Roman"/>
                <w:bCs/>
                <w:sz w:val="18"/>
                <w:szCs w:val="18"/>
              </w:rPr>
            </w:pPr>
            <w:r>
              <w:rPr>
                <w:rFonts w:eastAsiaTheme="minorEastAsia" w:cs="Times New Roman" w:hint="eastAsia"/>
                <w:bCs/>
                <w:sz w:val="18"/>
                <w:szCs w:val="18"/>
              </w:rPr>
              <w:t>计算复杂度高，</w:t>
            </w:r>
            <w:r w:rsidRPr="009754C1">
              <w:rPr>
                <w:rFonts w:eastAsiaTheme="minorEastAsia" w:cs="Times New Roman" w:hint="eastAsia"/>
                <w:bCs/>
                <w:sz w:val="18"/>
                <w:szCs w:val="18"/>
              </w:rPr>
              <w:t>参数估计的不稳定性</w:t>
            </w:r>
          </w:p>
        </w:tc>
      </w:tr>
      <w:tr w:rsidR="00B86FCD" w:rsidRPr="00F32371" w14:paraId="7A88D478" w14:textId="77777777" w:rsidTr="006E4F6B">
        <w:trPr>
          <w:cantSplit/>
        </w:trPr>
        <w:tc>
          <w:tcPr>
            <w:tcW w:w="975" w:type="pct"/>
            <w:shd w:val="clear" w:color="auto" w:fill="auto"/>
            <w:noWrap/>
            <w:vAlign w:val="center"/>
          </w:tcPr>
          <w:p w14:paraId="717B1546" w14:textId="77777777" w:rsidR="00B86FCD" w:rsidRPr="00F32371" w:rsidRDefault="00B86FCD" w:rsidP="006E4F6B">
            <w:pPr>
              <w:spacing w:line="240" w:lineRule="atLeast"/>
              <w:ind w:firstLineChars="0" w:firstLine="0"/>
              <w:jc w:val="center"/>
              <w:rPr>
                <w:rFonts w:eastAsia="等线" w:cs="Times New Roman"/>
                <w:sz w:val="18"/>
                <w:szCs w:val="18"/>
              </w:rPr>
            </w:pPr>
            <w:r w:rsidRPr="00845373">
              <w:rPr>
                <w:rFonts w:eastAsia="等线" w:cs="Times New Roman" w:hint="eastAsia"/>
                <w:sz w:val="18"/>
                <w:szCs w:val="18"/>
              </w:rPr>
              <w:t>Fisher</w:t>
            </w:r>
            <w:r w:rsidRPr="00845373">
              <w:rPr>
                <w:rFonts w:eastAsia="等线" w:cs="Times New Roman" w:hint="eastAsia"/>
                <w:sz w:val="18"/>
                <w:szCs w:val="18"/>
              </w:rPr>
              <w:t>精确检验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 w14:paraId="19EC06E2" w14:textId="77777777" w:rsidR="00B86FCD" w:rsidRPr="00F32371" w:rsidRDefault="00B86FCD" w:rsidP="006E4F6B">
            <w:pPr>
              <w:spacing w:line="240" w:lineRule="atLeast"/>
              <w:ind w:firstLine="360"/>
              <w:jc w:val="center"/>
              <w:rPr>
                <w:rFonts w:eastAsia="等线" w:cs="Times New Roman"/>
                <w:sz w:val="18"/>
                <w:szCs w:val="18"/>
              </w:rPr>
            </w:pPr>
            <w:r w:rsidRPr="00845373">
              <w:rPr>
                <w:rFonts w:eastAsia="等线" w:cs="Times New Roman" w:hint="eastAsia"/>
                <w:sz w:val="18"/>
                <w:szCs w:val="18"/>
              </w:rPr>
              <w:t>小样本数据</w:t>
            </w:r>
            <w:r>
              <w:rPr>
                <w:rFonts w:eastAsia="等线" w:cs="Times New Roman" w:hint="eastAsia"/>
                <w:sz w:val="18"/>
                <w:szCs w:val="18"/>
              </w:rPr>
              <w:t>精确性较高</w:t>
            </w:r>
          </w:p>
        </w:tc>
        <w:tc>
          <w:tcPr>
            <w:tcW w:w="1902" w:type="pct"/>
            <w:shd w:val="clear" w:color="auto" w:fill="auto"/>
            <w:noWrap/>
            <w:vAlign w:val="center"/>
          </w:tcPr>
          <w:p w14:paraId="0ED0C7AC" w14:textId="77777777" w:rsidR="00B86FCD" w:rsidRPr="00F32371" w:rsidRDefault="00B86FCD" w:rsidP="006E4F6B">
            <w:pPr>
              <w:spacing w:line="240" w:lineRule="atLeast"/>
              <w:ind w:firstLine="360"/>
              <w:rPr>
                <w:rFonts w:eastAsia="等线" w:cs="Times New Roman"/>
                <w:sz w:val="18"/>
                <w:szCs w:val="18"/>
              </w:rPr>
            </w:pPr>
            <w:r>
              <w:rPr>
                <w:rFonts w:eastAsia="等线" w:cs="Times New Roman" w:hint="eastAsia"/>
                <w:sz w:val="18"/>
                <w:szCs w:val="18"/>
              </w:rPr>
              <w:t>仅</w:t>
            </w:r>
            <w:r w:rsidRPr="00845373">
              <w:rPr>
                <w:rFonts w:eastAsia="等线" w:cs="Times New Roman" w:hint="eastAsia"/>
                <w:sz w:val="18"/>
                <w:szCs w:val="18"/>
              </w:rPr>
              <w:t>适合用于分析</w:t>
            </w:r>
            <w:r w:rsidRPr="00845373">
              <w:rPr>
                <w:rFonts w:eastAsia="等线" w:cs="Times New Roman" w:hint="eastAsia"/>
                <w:sz w:val="18"/>
                <w:szCs w:val="18"/>
              </w:rPr>
              <w:t>2</w:t>
            </w:r>
            <w:r w:rsidRPr="00845373">
              <w:rPr>
                <w:rFonts w:eastAsia="等线" w:cs="Times New Roman" w:hint="eastAsia"/>
                <w:sz w:val="18"/>
                <w:szCs w:val="18"/>
              </w:rPr>
              <w:t>×</w:t>
            </w:r>
            <w:r w:rsidRPr="00845373">
              <w:rPr>
                <w:rFonts w:eastAsia="等线" w:cs="Times New Roman" w:hint="eastAsia"/>
                <w:sz w:val="18"/>
                <w:szCs w:val="18"/>
              </w:rPr>
              <w:t>2</w:t>
            </w:r>
            <w:r w:rsidRPr="00845373">
              <w:rPr>
                <w:rFonts w:eastAsia="等线" w:cs="Times New Roman" w:hint="eastAsia"/>
                <w:sz w:val="18"/>
                <w:szCs w:val="18"/>
              </w:rPr>
              <w:t>列联表</w:t>
            </w:r>
          </w:p>
        </w:tc>
      </w:tr>
      <w:tr w:rsidR="00B86FCD" w:rsidRPr="00F32371" w14:paraId="255384C1" w14:textId="77777777" w:rsidTr="006E4F6B">
        <w:trPr>
          <w:cantSplit/>
        </w:trPr>
        <w:tc>
          <w:tcPr>
            <w:tcW w:w="975" w:type="pct"/>
            <w:shd w:val="clear" w:color="auto" w:fill="auto"/>
            <w:noWrap/>
            <w:vAlign w:val="center"/>
          </w:tcPr>
          <w:p w14:paraId="6E4BE844" w14:textId="77777777" w:rsidR="00B86FCD" w:rsidRPr="00845373" w:rsidRDefault="00B86FCD" w:rsidP="006E4F6B">
            <w:pPr>
              <w:spacing w:line="240" w:lineRule="atLeast"/>
              <w:ind w:firstLineChars="0" w:firstLine="0"/>
              <w:rPr>
                <w:rFonts w:eastAsia="等线" w:cs="Times New Roman"/>
                <w:sz w:val="18"/>
                <w:szCs w:val="18"/>
              </w:rPr>
            </w:pPr>
            <w:r w:rsidRPr="00EC2C2E">
              <w:rPr>
                <w:rFonts w:eastAsia="等线" w:cs="Times New Roman" w:hint="eastAsia"/>
                <w:sz w:val="18"/>
                <w:szCs w:val="18"/>
              </w:rPr>
              <w:t>Armitage</w:t>
            </w:r>
            <w:r w:rsidRPr="00EC2C2E">
              <w:rPr>
                <w:rFonts w:eastAsia="等线" w:cs="Times New Roman" w:hint="eastAsia"/>
                <w:sz w:val="18"/>
                <w:szCs w:val="18"/>
              </w:rPr>
              <w:t>趋势检验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 w14:paraId="711A6F76" w14:textId="77777777" w:rsidR="00B86FCD" w:rsidRPr="00F32371" w:rsidRDefault="00B86FCD" w:rsidP="006E4F6B">
            <w:pPr>
              <w:spacing w:line="240" w:lineRule="atLeast"/>
              <w:ind w:firstLine="360"/>
              <w:jc w:val="center"/>
              <w:rPr>
                <w:rFonts w:eastAsia="等线" w:cs="Times New Roman"/>
                <w:sz w:val="18"/>
                <w:szCs w:val="18"/>
              </w:rPr>
            </w:pPr>
            <w:r>
              <w:rPr>
                <w:rFonts w:eastAsia="等线" w:cs="Times New Roman" w:hint="eastAsia"/>
                <w:sz w:val="18"/>
                <w:szCs w:val="18"/>
              </w:rPr>
              <w:t>较高的计算效率</w:t>
            </w:r>
          </w:p>
        </w:tc>
        <w:tc>
          <w:tcPr>
            <w:tcW w:w="1902" w:type="pct"/>
            <w:shd w:val="clear" w:color="auto" w:fill="auto"/>
            <w:noWrap/>
            <w:vAlign w:val="center"/>
          </w:tcPr>
          <w:p w14:paraId="1E32FE53" w14:textId="77777777" w:rsidR="00B86FCD" w:rsidRPr="00F32371" w:rsidRDefault="00B86FCD" w:rsidP="006E4F6B">
            <w:pPr>
              <w:spacing w:line="240" w:lineRule="atLeast"/>
              <w:ind w:firstLine="360"/>
              <w:jc w:val="center"/>
              <w:rPr>
                <w:rFonts w:eastAsia="等线" w:cs="Times New Roman"/>
                <w:sz w:val="18"/>
                <w:szCs w:val="18"/>
              </w:rPr>
            </w:pPr>
            <w:r w:rsidRPr="00EC2C2E">
              <w:rPr>
                <w:rFonts w:eastAsia="等线" w:cs="Times New Roman" w:hint="eastAsia"/>
                <w:sz w:val="18"/>
                <w:szCs w:val="18"/>
              </w:rPr>
              <w:t>局限于线性效应</w:t>
            </w:r>
          </w:p>
        </w:tc>
      </w:tr>
    </w:tbl>
    <w:p w14:paraId="61502FAE" w14:textId="77777777" w:rsidR="00A57858" w:rsidRDefault="00A57858" w:rsidP="00A57858">
      <w:pPr>
        <w:ind w:firstLineChars="0" w:firstLine="420"/>
      </w:pPr>
      <w:bookmarkStart w:id="0" w:name="OLE_LINK3"/>
      <w:bookmarkStart w:id="1" w:name="OLE_LINK4"/>
      <w:r>
        <w:t>卡方检验通过检测单个</w:t>
      </w:r>
      <w:r>
        <w:t>SNP</w:t>
      </w:r>
      <w:r>
        <w:t>基因型在不同群体中的频率差异，来评估</w:t>
      </w:r>
      <w:r>
        <w:t>SNP</w:t>
      </w:r>
      <w:r>
        <w:t>与目标性状之间的</w:t>
      </w:r>
      <w:commentRangeStart w:id="2"/>
      <w:r>
        <w:t>关联性</w:t>
      </w:r>
      <w:commentRangeEnd w:id="2"/>
      <w:r>
        <w:rPr>
          <w:rStyle w:val="aa"/>
        </w:rPr>
        <w:commentReference w:id="2"/>
      </w:r>
      <w:r>
        <w:t>。该方法通过比较观察到的基因型分布与期望分布之间的差异，以确定基因型频率是否显著偏离随机分布。其统计量基于列联表，并通过计算卡方统计值来判断关联性。其核心公式为：</w:t>
      </w:r>
    </w:p>
    <w:p w14:paraId="5C421D92" w14:textId="77777777" w:rsidR="00A57858" w:rsidRDefault="00E1731B" w:rsidP="00A57858">
      <w:pPr>
        <w:pStyle w:val="FirstParagraph"/>
        <w:ind w:firstLine="48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6F755170" w14:textId="77777777" w:rsidR="00A57858" w:rsidRDefault="00A57858" w:rsidP="00A57858">
      <w:pPr>
        <w:ind w:firstLineChars="0" w:firstLine="420"/>
      </w:pPr>
      <w:r>
        <w:rPr>
          <w:rFonts w:hint="eastAsia"/>
        </w:rPr>
        <w:t>其中</w:t>
      </w:r>
      <w:r>
        <w:t xml:space="preserve">O </w:t>
      </w:r>
      <w:r>
        <w:rPr>
          <w:rFonts w:hint="eastAsia"/>
        </w:rPr>
        <w:t>是每个基因型类别的观察频数。</w:t>
      </w:r>
      <w:proofErr w:type="spellStart"/>
      <w:r>
        <w:t>Ei</w:t>
      </w:r>
      <w:proofErr w:type="spellEnd"/>
      <w:r>
        <w:rPr>
          <w:rFonts w:hint="eastAsia"/>
        </w:rPr>
        <w:t>是每个基因型类别的期望频数。</w:t>
      </w:r>
      <w:r>
        <w:rPr>
          <w:rFonts w:hint="eastAsia"/>
        </w:rPr>
        <w:t xml:space="preserve">k </w:t>
      </w:r>
      <w:r>
        <w:rPr>
          <w:rFonts w:hint="eastAsia"/>
        </w:rPr>
        <w:t>是基因型的类别数量（例如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）。</w:t>
      </w:r>
      <w:r>
        <w:t>卡方检验由于计算速度快且不依赖参数假设，因而具有较广泛的适用性</w:t>
      </w:r>
      <w:r>
        <w:rPr>
          <w:rFonts w:hint="eastAsia"/>
        </w:rPr>
        <w:t>。</w:t>
      </w:r>
      <w:r>
        <w:t>然而，该方法无法有效控制潜在的混杂因素，因此分析结果容易受到种群结构的影响。</w:t>
      </w:r>
    </w:p>
    <w:p w14:paraId="6A807B91" w14:textId="77777777" w:rsidR="00A57858" w:rsidRDefault="00A57858" w:rsidP="00A57858">
      <w:pPr>
        <w:ind w:firstLineChars="0" w:firstLine="420"/>
      </w:pPr>
      <w:r>
        <w:t>Fisher</w:t>
      </w:r>
      <w:r>
        <w:t>精确检验可用于评估</w:t>
      </w:r>
      <w:r>
        <w:t>SNP</w:t>
      </w:r>
      <w:r>
        <w:t>与复杂性状之间的关联</w:t>
      </w:r>
      <w:commentRangeStart w:id="3"/>
      <w:r>
        <w:t>关系</w:t>
      </w:r>
      <w:commentRangeEnd w:id="3"/>
      <w:r>
        <w:rPr>
          <w:rStyle w:val="aa"/>
        </w:rPr>
        <w:commentReference w:id="3"/>
      </w:r>
      <w:r>
        <w:rPr>
          <w:rFonts w:hint="eastAsia"/>
        </w:rPr>
        <w:t>，</w:t>
      </w:r>
      <w:r>
        <w:t>该检验通过构建</w:t>
      </w:r>
      <w:r>
        <w:t>SNP</w:t>
      </w:r>
      <w:r>
        <w:t>与性状的</w:t>
      </w:r>
      <w:r>
        <w:t>2</w:t>
      </w:r>
      <w:r w:rsidRPr="003305CC">
        <w:rPr>
          <w:rFonts w:hint="eastAsia"/>
        </w:rPr>
        <w:t>×</w:t>
      </w:r>
      <w:r>
        <w:t>2</w:t>
      </w:r>
      <w:r>
        <w:t>列联表来进行计算和分析，旨在通过精确的概率计算检验变量之间的统计独立性。其核心公式为：</w:t>
      </w:r>
    </w:p>
    <w:p w14:paraId="5E114862" w14:textId="77777777" w:rsidR="00A57858" w:rsidRDefault="00A57858" w:rsidP="00A57858">
      <w:pPr>
        <w:pStyle w:val="FirstParagraph"/>
        <w:ind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den>
          </m:f>
        </m:oMath>
      </m:oMathPara>
    </w:p>
    <w:p w14:paraId="5812C838" w14:textId="77777777" w:rsidR="00A57858" w:rsidRDefault="00A57858" w:rsidP="00A57858">
      <w:pPr>
        <w:ind w:firstLineChars="0" w:firstLine="420"/>
      </w:pPr>
      <w:r>
        <w:rPr>
          <w:rFonts w:hint="eastAsia"/>
        </w:rPr>
        <w:t>其中</w:t>
      </w:r>
      <w:r>
        <w:rPr>
          <w:rStyle w:val="mord"/>
        </w:rPr>
        <w:t>a</w:t>
      </w:r>
      <w:r>
        <w:t xml:space="preserve">, </w:t>
      </w:r>
      <w:r>
        <w:rPr>
          <w:rStyle w:val="katex-mathml"/>
        </w:rPr>
        <w:t xml:space="preserve">b, </w:t>
      </w:r>
      <w:r>
        <w:rPr>
          <w:rStyle w:val="katex-mathml"/>
          <w:rFonts w:hint="eastAsia"/>
        </w:rPr>
        <w:t>c</w:t>
      </w:r>
      <w:r>
        <w:rPr>
          <w:rStyle w:val="katex-mathml"/>
        </w:rPr>
        <w:t>, d</w:t>
      </w:r>
      <w:r>
        <w:t xml:space="preserve"> </w:t>
      </w:r>
      <w:r>
        <w:t>是列联表中的观察频数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是样本总数。</w:t>
      </w:r>
      <w:r>
        <w:t>Fisher</w:t>
      </w:r>
      <w:r>
        <w:t>精确检验不依赖于正态分布的假设，因而在处理小样本数据时具有较高的精确性。该方法能够提供精确的概率计算结果，适合用于分析</w:t>
      </w:r>
      <w:r>
        <w:t>2</w:t>
      </w:r>
      <w:r w:rsidRPr="003305CC">
        <w:rPr>
          <w:rFonts w:hint="eastAsia"/>
        </w:rPr>
        <w:t>×</w:t>
      </w:r>
      <w:r>
        <w:t>2</w:t>
      </w:r>
      <w:r>
        <w:t>列联表中变量之间的关联。然而，</w:t>
      </w:r>
      <w:r>
        <w:lastRenderedPageBreak/>
        <w:t>由于其较高的计算复杂度以及对</w:t>
      </w:r>
      <w:r>
        <w:t>2×2</w:t>
      </w:r>
      <w:r>
        <w:t>列联表的局限性，</w:t>
      </w:r>
      <w:r>
        <w:t>Fisher</w:t>
      </w:r>
      <w:r>
        <w:t>精确检验在处理更复杂的数据结构时的适用性受到一定限制。</w:t>
      </w:r>
    </w:p>
    <w:p w14:paraId="5EC44A12" w14:textId="5FF039ED" w:rsidR="008E008A" w:rsidRDefault="007C51F2" w:rsidP="00A3785C">
      <w:pPr>
        <w:ind w:firstLineChars="0" w:firstLine="420"/>
      </w:pPr>
      <w:r>
        <w:t>Logistic</w:t>
      </w:r>
      <w:r>
        <w:t>回归</w:t>
      </w:r>
      <w:bookmarkEnd w:id="0"/>
      <w:bookmarkEnd w:id="1"/>
      <w:r>
        <w:t>是</w:t>
      </w:r>
      <w:r>
        <w:rPr>
          <w:rFonts w:hint="eastAsia"/>
        </w:rPr>
        <w:t>常用的</w:t>
      </w:r>
      <w:r>
        <w:t>单位点检测</w:t>
      </w:r>
      <w:commentRangeStart w:id="4"/>
      <w:r>
        <w:t>方法</w:t>
      </w:r>
      <w:commentRangeEnd w:id="4"/>
      <w:r w:rsidR="00D205EB">
        <w:rPr>
          <w:rStyle w:val="aa"/>
        </w:rPr>
        <w:commentReference w:id="4"/>
      </w:r>
      <w:r>
        <w:rPr>
          <w:rFonts w:hint="eastAsia"/>
        </w:rPr>
        <w:t>，</w:t>
      </w:r>
      <w:r w:rsidR="00963C09" w:rsidRPr="00963C09">
        <w:rPr>
          <w:rFonts w:hint="eastAsia"/>
        </w:rPr>
        <w:t>该方法通过最大化对数似然函数来</w:t>
      </w:r>
      <w:r w:rsidR="00E24C2A">
        <w:rPr>
          <w:rFonts w:hint="eastAsia"/>
        </w:rPr>
        <w:t>计算</w:t>
      </w:r>
      <w:r w:rsidR="00963C09" w:rsidRPr="00963C09">
        <w:rPr>
          <w:rFonts w:hint="eastAsia"/>
        </w:rPr>
        <w:t>每个</w:t>
      </w:r>
      <w:r w:rsidR="00963C09" w:rsidRPr="00963C09">
        <w:rPr>
          <w:rFonts w:hint="eastAsia"/>
        </w:rPr>
        <w:t>SNP</w:t>
      </w:r>
      <w:r w:rsidR="00963C09" w:rsidRPr="00963C09">
        <w:rPr>
          <w:rFonts w:hint="eastAsia"/>
        </w:rPr>
        <w:t>的效应，以评估</w:t>
      </w:r>
      <w:r w:rsidR="00963C09" w:rsidRPr="00963C09">
        <w:rPr>
          <w:rFonts w:hint="eastAsia"/>
        </w:rPr>
        <w:t>SNP</w:t>
      </w:r>
      <w:r w:rsidR="00963C09">
        <w:rPr>
          <w:rFonts w:hint="eastAsia"/>
        </w:rPr>
        <w:t>与性状之间的关联关系，其核心公式为</w:t>
      </w:r>
      <w:r>
        <w:rPr>
          <w:rFonts w:hint="eastAsia"/>
        </w:rPr>
        <w:t>：</w:t>
      </w:r>
    </w:p>
    <w:p w14:paraId="2B5A6AEF" w14:textId="0B0B39A7" w:rsidR="00423DB1" w:rsidRDefault="00423DB1" w:rsidP="00423DB1">
      <w:pPr>
        <w:pStyle w:val="FirstParagraph"/>
        <w:ind w:firstLine="48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D9CFD99" w14:textId="6DD0EBCC" w:rsidR="0064205B" w:rsidRDefault="000F45C0" w:rsidP="00846154">
      <w:pPr>
        <w:ind w:firstLineChars="0" w:firstLine="420"/>
      </w:pPr>
      <w:r>
        <w:rPr>
          <w:rFonts w:cs="Times New Roman" w:hint="eastAsia"/>
          <w:kern w:val="0"/>
          <w:szCs w:val="24"/>
        </w:rPr>
        <w:t>其中是</w:t>
      </w:r>
      <w:r w:rsidR="00846154">
        <w:rPr>
          <w:rFonts w:cs="Times New Roman" w:hint="eastAsia"/>
          <w:kern w:val="0"/>
          <w:szCs w:val="24"/>
        </w:rPr>
        <w:t>表型发生</w:t>
      </w:r>
      <w:r>
        <w:rPr>
          <w:rFonts w:cs="Times New Roman" w:hint="eastAsia"/>
          <w:kern w:val="0"/>
          <w:szCs w:val="24"/>
        </w:rPr>
        <w:t>的概率</w:t>
      </w:r>
      <w:r w:rsidR="00423DB1">
        <w:rPr>
          <w:rFonts w:cs="Times New Roman" w:hint="eastAsia"/>
          <w:kern w:val="0"/>
          <w:szCs w:val="24"/>
        </w:rPr>
        <w:t>，</w:t>
      </w:r>
      <w:r w:rsidR="00846154">
        <w:t>是截距，代表没有</w:t>
      </w:r>
      <w:r w:rsidR="00846154">
        <w:t>SNP</w:t>
      </w:r>
      <w:r w:rsidR="00846154">
        <w:t>效应时的基础风险</w:t>
      </w:r>
      <w:r w:rsidR="00846154">
        <w:rPr>
          <w:rFonts w:hint="eastAsia"/>
        </w:rPr>
        <w:t>，</w:t>
      </w:r>
      <w:r w:rsidR="00846154">
        <w:rPr>
          <w:rStyle w:val="mord"/>
          <w:b/>
          <w:bCs/>
        </w:rPr>
        <w:t>β1</w:t>
      </w:r>
      <w:r w:rsidR="00846154">
        <w:rPr>
          <w:rStyle w:val="vlist-s"/>
          <w:b/>
          <w:bCs/>
        </w:rPr>
        <w:t>​</w:t>
      </w:r>
      <w:r w:rsidR="00846154">
        <w:t xml:space="preserve"> </w:t>
      </w:r>
      <w:r w:rsidR="00846154">
        <w:t>是</w:t>
      </w:r>
      <w:r w:rsidR="00846154">
        <w:t>SNP</w:t>
      </w:r>
      <w:r w:rsidR="00846154">
        <w:t>的回归系数，表示</w:t>
      </w:r>
      <w:r w:rsidR="00846154">
        <w:t>SNP</w:t>
      </w:r>
      <w:r w:rsidR="00846154">
        <w:t>对目标性状的影响。</w:t>
      </w:r>
      <w:r w:rsidR="00846154">
        <w:rPr>
          <w:rStyle w:val="mord"/>
          <w:b/>
          <w:bCs/>
        </w:rPr>
        <w:t>X1</w:t>
      </w:r>
      <w:r w:rsidR="00846154">
        <w:t>是</w:t>
      </w:r>
      <w:r w:rsidR="00846154">
        <w:t>SNP</w:t>
      </w:r>
      <w:r w:rsidR="00846154">
        <w:t>的基因型值，通常编码为</w:t>
      </w:r>
      <w:r w:rsidR="00846154">
        <w:t>0</w:t>
      </w:r>
      <w:r w:rsidR="00846154">
        <w:t>、</w:t>
      </w:r>
      <w:r w:rsidR="00846154">
        <w:t>1</w:t>
      </w:r>
      <w:r w:rsidR="00846154">
        <w:t>、</w:t>
      </w:r>
      <w:r w:rsidR="00846154">
        <w:t>2</w:t>
      </w:r>
      <w:r w:rsidR="00846154">
        <w:t>，分别表示不同等位基因组合。</w:t>
      </w:r>
      <w:r w:rsidR="00BF75B1" w:rsidRPr="00BF75B1">
        <w:rPr>
          <w:rFonts w:hint="eastAsia"/>
        </w:rPr>
        <w:t>Logistic</w:t>
      </w:r>
      <w:r w:rsidR="00BF75B1" w:rsidRPr="00BF75B1">
        <w:rPr>
          <w:rFonts w:hint="eastAsia"/>
        </w:rPr>
        <w:t>回归具有良好的可解释性，并且通过引入多个协变量，可以有效提高模型的预测准确性。然而，其计算成本较高，尤其在样本</w:t>
      </w:r>
      <w:r w:rsidR="00BF75B1">
        <w:rPr>
          <w:rFonts w:hint="eastAsia"/>
        </w:rPr>
        <w:t>量较小或数据特征较为复杂的情况下，可能会导致参数估计的不稳定性</w:t>
      </w:r>
      <w:r w:rsidR="0064205B">
        <w:rPr>
          <w:rFonts w:hint="eastAsia"/>
        </w:rPr>
        <w:t>。</w:t>
      </w:r>
    </w:p>
    <w:p w14:paraId="7A3784FC" w14:textId="5AFA3066" w:rsidR="00B77F7E" w:rsidRDefault="0032450C" w:rsidP="00182D11">
      <w:pPr>
        <w:ind w:firstLineChars="0" w:firstLine="420"/>
      </w:pPr>
      <w:r>
        <w:t>Armitage</w:t>
      </w:r>
      <w:r>
        <w:t>趋势检验用于评估</w:t>
      </w:r>
      <w:r>
        <w:t>SNP</w:t>
      </w:r>
      <w:r>
        <w:t>基因型与目标性状之间是否存在显著的线性</w:t>
      </w:r>
      <w:commentRangeStart w:id="5"/>
      <w:r>
        <w:t>趋势</w:t>
      </w:r>
      <w:commentRangeEnd w:id="5"/>
      <w:r>
        <w:rPr>
          <w:rStyle w:val="aa"/>
        </w:rPr>
        <w:commentReference w:id="5"/>
      </w:r>
      <w:r>
        <w:t>。该检验通过构建</w:t>
      </w:r>
      <w:r>
        <w:t>2</w:t>
      </w:r>
      <w:r w:rsidRPr="003305CC">
        <w:rPr>
          <w:rFonts w:hint="eastAsia"/>
        </w:rPr>
        <w:t>×</w:t>
      </w:r>
      <w:r>
        <w:t>3</w:t>
      </w:r>
      <w:r>
        <w:t>列联表进行分析，其检验统计量依据不同基因型的频率和目标性状的分布，旨在检测基因型与性状之间的线性关联。该方法的主要公式为：</w:t>
      </w:r>
    </w:p>
    <w:p w14:paraId="223A582B" w14:textId="77777777" w:rsidR="005F1A50" w:rsidRDefault="005F1A50" w:rsidP="005F1A50">
      <w:pPr>
        <w:pStyle w:val="FirstParagraph"/>
        <w:ind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30210673" w14:textId="1CEB0CC6" w:rsidR="0032450C" w:rsidRDefault="005F1A50" w:rsidP="00A3785C">
      <w:pPr>
        <w:ind w:firstLineChars="0" w:firstLine="420"/>
      </w:pPr>
      <w:r>
        <w:rPr>
          <w:rFonts w:hint="eastAsia"/>
        </w:rPr>
        <w:t>其中</w:t>
      </w:r>
      <w:proofErr w:type="spellStart"/>
      <w:r>
        <w:t>ni</w:t>
      </w:r>
      <w:proofErr w:type="spellEnd"/>
      <w:r>
        <w:rPr>
          <w:rFonts w:hint="eastAsia"/>
        </w:rPr>
        <w:t>表示每个基因型（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）的病例数，是期望的病例数。是权重，通常为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（分别表示基因型的递增）。</w:t>
      </w:r>
      <w:r>
        <w:rPr>
          <w:rFonts w:hint="eastAsia"/>
        </w:rPr>
        <w:t xml:space="preserve">p </w:t>
      </w:r>
      <w:r>
        <w:rPr>
          <w:rFonts w:hint="eastAsia"/>
        </w:rPr>
        <w:t>是病例组中事件发生的总体比例</w:t>
      </w:r>
      <w:r w:rsidR="003C64C9">
        <w:rPr>
          <w:rFonts w:hint="eastAsia"/>
        </w:rPr>
        <w:t>。</w:t>
      </w:r>
      <w:r w:rsidR="0032450C">
        <w:t>由于其较高的计算效率，</w:t>
      </w:r>
      <w:r w:rsidR="0032450C">
        <w:t>Armitage</w:t>
      </w:r>
      <w:r w:rsidR="0032450C">
        <w:t>趋势检验被广泛应用于</w:t>
      </w:r>
      <w:r w:rsidR="0032450C">
        <w:rPr>
          <w:rFonts w:hint="eastAsia"/>
        </w:rPr>
        <w:t>G</w:t>
      </w:r>
      <w:r w:rsidR="0032450C">
        <w:t>WAS</w:t>
      </w:r>
      <w:r w:rsidR="0032450C">
        <w:t>的初步筛选阶段。然而，该检验的适用范围主要局限于检测基因型与性状之间的线性效应，因此在分析稀有等位基因或复杂的非线性关联时表现不足。</w:t>
      </w:r>
    </w:p>
    <w:p w14:paraId="7AE09949" w14:textId="77777777" w:rsidR="00665B8F" w:rsidRPr="00665B8F" w:rsidRDefault="00665B8F" w:rsidP="00665B8F">
      <w:pPr>
        <w:ind w:firstLineChars="0" w:firstLine="420"/>
        <w:rPr>
          <w:rFonts w:cs="Times New Roman"/>
          <w:kern w:val="0"/>
          <w:szCs w:val="24"/>
        </w:rPr>
      </w:pPr>
      <w:r w:rsidRPr="00665B8F">
        <w:rPr>
          <w:rFonts w:cs="Times New Roman" w:hint="eastAsia"/>
          <w:kern w:val="0"/>
          <w:szCs w:val="24"/>
        </w:rPr>
        <w:t>全基因组关联研究（</w:t>
      </w:r>
      <w:r w:rsidRPr="00665B8F">
        <w:rPr>
          <w:rFonts w:cs="Times New Roman" w:hint="eastAsia"/>
          <w:kern w:val="0"/>
          <w:szCs w:val="24"/>
        </w:rPr>
        <w:t>GWAS</w:t>
      </w:r>
      <w:r w:rsidRPr="00665B8F">
        <w:rPr>
          <w:rFonts w:cs="Times New Roman" w:hint="eastAsia"/>
          <w:kern w:val="0"/>
          <w:szCs w:val="24"/>
        </w:rPr>
        <w:t>）中的单位点检测存在以下主要问题：</w:t>
      </w:r>
    </w:p>
    <w:p w14:paraId="70DC51FE" w14:textId="290E660C" w:rsidR="00665B8F" w:rsidRPr="00665B8F" w:rsidRDefault="00665B8F" w:rsidP="00665B8F">
      <w:pPr>
        <w:ind w:firstLineChars="0" w:firstLine="42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1</w:t>
      </w:r>
      <w:r>
        <w:rPr>
          <w:rFonts w:cs="Times New Roman" w:hint="eastAsia"/>
          <w:kern w:val="0"/>
          <w:szCs w:val="24"/>
        </w:rPr>
        <w:t>）</w:t>
      </w:r>
      <w:r w:rsidRPr="00665B8F">
        <w:rPr>
          <w:rFonts w:cs="Times New Roman" w:hint="eastAsia"/>
          <w:kern w:val="0"/>
          <w:szCs w:val="24"/>
        </w:rPr>
        <w:t>多重检验问题：单位点检测涉及成千上万的</w:t>
      </w:r>
      <w:r w:rsidRPr="00665B8F">
        <w:rPr>
          <w:rFonts w:cs="Times New Roman" w:hint="eastAsia"/>
          <w:kern w:val="0"/>
          <w:szCs w:val="24"/>
        </w:rPr>
        <w:t>SNP</w:t>
      </w:r>
      <w:r w:rsidRPr="00665B8F">
        <w:rPr>
          <w:rFonts w:cs="Times New Roman" w:hint="eastAsia"/>
          <w:kern w:val="0"/>
          <w:szCs w:val="24"/>
        </w:rPr>
        <w:t>，随着检验次数的增加，假阳性结果的风险显著增加。为了解决这一问题，通常采用严格的多重检验校正方法（如</w:t>
      </w:r>
      <w:proofErr w:type="spellStart"/>
      <w:r w:rsidRPr="00665B8F">
        <w:rPr>
          <w:rFonts w:cs="Times New Roman" w:hint="eastAsia"/>
          <w:kern w:val="0"/>
          <w:szCs w:val="24"/>
        </w:rPr>
        <w:t>Bonferroni</w:t>
      </w:r>
      <w:proofErr w:type="spellEnd"/>
      <w:r w:rsidRPr="00665B8F">
        <w:rPr>
          <w:rFonts w:cs="Times New Roman" w:hint="eastAsia"/>
          <w:kern w:val="0"/>
          <w:szCs w:val="24"/>
        </w:rPr>
        <w:t>校正或</w:t>
      </w:r>
      <w:r w:rsidRPr="00665B8F">
        <w:rPr>
          <w:rFonts w:cs="Times New Roman" w:hint="eastAsia"/>
          <w:kern w:val="0"/>
          <w:szCs w:val="24"/>
        </w:rPr>
        <w:t>FDR</w:t>
      </w:r>
      <w:r w:rsidRPr="00665B8F">
        <w:rPr>
          <w:rFonts w:cs="Times New Roman" w:hint="eastAsia"/>
          <w:kern w:val="0"/>
          <w:szCs w:val="24"/>
        </w:rPr>
        <w:t>控制）。然而，过于严格的校正方法会显著降低检验功效，</w:t>
      </w:r>
      <w:proofErr w:type="gramStart"/>
      <w:r w:rsidRPr="00665B8F">
        <w:rPr>
          <w:rFonts w:cs="Times New Roman" w:hint="eastAsia"/>
          <w:kern w:val="0"/>
          <w:szCs w:val="24"/>
        </w:rPr>
        <w:t>增加假</w:t>
      </w:r>
      <w:proofErr w:type="gramEnd"/>
      <w:r w:rsidRPr="00665B8F">
        <w:rPr>
          <w:rFonts w:cs="Times New Roman" w:hint="eastAsia"/>
          <w:kern w:val="0"/>
          <w:szCs w:val="24"/>
        </w:rPr>
        <w:t>阴性结果的风险，导致潜在的真实关联被忽略。</w:t>
      </w:r>
    </w:p>
    <w:p w14:paraId="3D805E2E" w14:textId="101B9F95" w:rsidR="00730212" w:rsidRDefault="00F4251C" w:rsidP="00C0715F">
      <w:pPr>
        <w:ind w:firstLine="480"/>
      </w:pPr>
      <w:r w:rsidRPr="00F4251C">
        <w:rPr>
          <w:rFonts w:cs="Times New Roman" w:hint="eastAsia"/>
          <w:kern w:val="0"/>
          <w:szCs w:val="24"/>
        </w:rPr>
        <w:lastRenderedPageBreak/>
        <w:t>（</w:t>
      </w:r>
      <w:r w:rsidR="004E6BEE">
        <w:rPr>
          <w:rFonts w:cs="Times New Roman"/>
          <w:kern w:val="0"/>
          <w:szCs w:val="24"/>
        </w:rPr>
        <w:t>2</w:t>
      </w:r>
      <w:r w:rsidRPr="00F4251C">
        <w:rPr>
          <w:rFonts w:cs="Times New Roman" w:hint="eastAsia"/>
          <w:kern w:val="0"/>
          <w:szCs w:val="24"/>
        </w:rPr>
        <w:t>）</w:t>
      </w:r>
      <w:r w:rsidRPr="00F4251C">
        <w:rPr>
          <w:rFonts w:cs="Times New Roman"/>
          <w:bCs/>
          <w:kern w:val="0"/>
          <w:szCs w:val="24"/>
        </w:rPr>
        <w:t>稀有等位基因的分析困难</w:t>
      </w:r>
      <w:r w:rsidRPr="00F4251C">
        <w:rPr>
          <w:rFonts w:cs="Times New Roman"/>
          <w:kern w:val="0"/>
          <w:szCs w:val="24"/>
        </w:rPr>
        <w:t>：</w:t>
      </w:r>
      <w:r>
        <w:t>单位点检测</w:t>
      </w:r>
      <w:r w:rsidR="004E6BEE">
        <w:rPr>
          <w:rFonts w:hint="eastAsia"/>
        </w:rPr>
        <w:t>中大部分统计检验方法</w:t>
      </w:r>
      <w:r>
        <w:t>对常见等位基因的表现较好，但在分析稀有等位基因时，往往由于样本量不足，难以获得有力的统计</w:t>
      </w:r>
      <w:commentRangeStart w:id="6"/>
      <w:r>
        <w:t>支持</w:t>
      </w:r>
      <w:commentRangeEnd w:id="6"/>
      <w:r w:rsidR="003D08F9">
        <w:rPr>
          <w:rStyle w:val="aa"/>
        </w:rPr>
        <w:commentReference w:id="6"/>
      </w:r>
      <w:r>
        <w:t>。</w:t>
      </w:r>
    </w:p>
    <w:p w14:paraId="108F6BF9" w14:textId="511DABB4" w:rsidR="004E6BEE" w:rsidRDefault="004E6BEE" w:rsidP="004E6BEE">
      <w:pPr>
        <w:ind w:firstLineChars="0" w:firstLine="42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/>
          <w:kern w:val="0"/>
          <w:szCs w:val="24"/>
        </w:rPr>
        <w:t>3</w:t>
      </w:r>
      <w:r>
        <w:rPr>
          <w:rFonts w:cs="Times New Roman" w:hint="eastAsia"/>
          <w:kern w:val="0"/>
          <w:szCs w:val="24"/>
        </w:rPr>
        <w:t>）</w:t>
      </w:r>
      <w:r w:rsidRPr="00665B8F">
        <w:rPr>
          <w:rFonts w:cs="Times New Roman" w:hint="eastAsia"/>
          <w:kern w:val="0"/>
          <w:szCs w:val="24"/>
        </w:rPr>
        <w:t>忽视</w:t>
      </w:r>
      <w:r w:rsidRPr="00665B8F">
        <w:rPr>
          <w:rFonts w:cs="Times New Roman" w:hint="eastAsia"/>
          <w:kern w:val="0"/>
          <w:szCs w:val="24"/>
        </w:rPr>
        <w:t>SNP</w:t>
      </w:r>
      <w:r>
        <w:rPr>
          <w:rFonts w:cs="Times New Roman"/>
          <w:kern w:val="0"/>
          <w:szCs w:val="24"/>
        </w:rPr>
        <w:t>s</w:t>
      </w:r>
      <w:r w:rsidRPr="00665B8F">
        <w:rPr>
          <w:rFonts w:cs="Times New Roman" w:hint="eastAsia"/>
          <w:kern w:val="0"/>
          <w:szCs w:val="24"/>
        </w:rPr>
        <w:t>间的相互作用：单位点检测假设每个</w:t>
      </w:r>
      <w:r w:rsidRPr="00665B8F">
        <w:rPr>
          <w:rFonts w:cs="Times New Roman" w:hint="eastAsia"/>
          <w:kern w:val="0"/>
          <w:szCs w:val="24"/>
        </w:rPr>
        <w:t>SNP</w:t>
      </w:r>
      <w:r w:rsidRPr="00665B8F">
        <w:rPr>
          <w:rFonts w:cs="Times New Roman" w:hint="eastAsia"/>
          <w:kern w:val="0"/>
          <w:szCs w:val="24"/>
        </w:rPr>
        <w:t>独立地影响目标性状，未能充分考虑</w:t>
      </w:r>
      <w:r w:rsidRPr="00665B8F">
        <w:rPr>
          <w:rFonts w:cs="Times New Roman" w:hint="eastAsia"/>
          <w:kern w:val="0"/>
          <w:szCs w:val="24"/>
        </w:rPr>
        <w:t>SNP</w:t>
      </w:r>
      <w:r w:rsidRPr="00665B8F">
        <w:rPr>
          <w:rFonts w:cs="Times New Roman" w:hint="eastAsia"/>
          <w:kern w:val="0"/>
          <w:szCs w:val="24"/>
        </w:rPr>
        <w:t>之间的相互作用（上位性）。</w:t>
      </w:r>
      <w:r>
        <w:rPr>
          <w:rFonts w:cs="Times New Roman" w:hint="eastAsia"/>
          <w:kern w:val="0"/>
          <w:szCs w:val="24"/>
        </w:rPr>
        <w:t>已有</w:t>
      </w:r>
      <w:r w:rsidRPr="00665B8F">
        <w:rPr>
          <w:rFonts w:cs="Times New Roman" w:hint="eastAsia"/>
          <w:kern w:val="0"/>
          <w:szCs w:val="24"/>
        </w:rPr>
        <w:t>研究表明这种忽略可能导致对复杂性状的解释力不足，进而引发遗传力缺失（</w:t>
      </w:r>
      <w:r w:rsidRPr="00665B8F">
        <w:rPr>
          <w:rFonts w:cs="Times New Roman" w:hint="eastAsia"/>
          <w:kern w:val="0"/>
          <w:szCs w:val="24"/>
        </w:rPr>
        <w:t>Missing Heritability</w:t>
      </w:r>
      <w:r w:rsidRPr="00665B8F">
        <w:rPr>
          <w:rFonts w:cs="Times New Roman" w:hint="eastAsia"/>
          <w:kern w:val="0"/>
          <w:szCs w:val="24"/>
        </w:rPr>
        <w:t>）的</w:t>
      </w:r>
      <w:commentRangeStart w:id="7"/>
      <w:r w:rsidRPr="00665B8F">
        <w:rPr>
          <w:rFonts w:cs="Times New Roman" w:hint="eastAsia"/>
          <w:kern w:val="0"/>
          <w:szCs w:val="24"/>
        </w:rPr>
        <w:t>问题</w:t>
      </w:r>
      <w:commentRangeEnd w:id="7"/>
      <w:r>
        <w:rPr>
          <w:rStyle w:val="aa"/>
        </w:rPr>
        <w:commentReference w:id="7"/>
      </w:r>
      <w:r w:rsidRPr="00665B8F">
        <w:rPr>
          <w:rFonts w:cs="Times New Roman" w:hint="eastAsia"/>
          <w:kern w:val="0"/>
          <w:szCs w:val="24"/>
        </w:rPr>
        <w:t>。</w:t>
      </w:r>
      <w:bookmarkStart w:id="8" w:name="_GoBack"/>
      <w:bookmarkEnd w:id="8"/>
    </w:p>
    <w:sectPr w:rsidR="004E6BEE" w:rsidSect="007302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x" w:date="2024-09-09T01:05:00Z" w:initials="x">
    <w:p w14:paraId="02C22902" w14:textId="77777777" w:rsidR="00A57858" w:rsidRDefault="00A57858" w:rsidP="00A57858">
      <w:pPr>
        <w:pStyle w:val="ab"/>
        <w:ind w:firstLine="420"/>
      </w:pPr>
      <w:r>
        <w:rPr>
          <w:rStyle w:val="aa"/>
        </w:rPr>
        <w:annotationRef/>
      </w:r>
      <w:r>
        <w:rPr>
          <w:rFonts w:ascii="Segoe UI" w:hAnsi="Segoe UI" w:cs="Segoe UI"/>
          <w:color w:val="212121"/>
          <w:shd w:val="clear" w:color="auto" w:fill="FFFFFF"/>
        </w:rPr>
        <w:t>Devlin B, Roeder K. Genomic control for association studies. Biometrics. 1999 Dec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;55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(4):997-1004. </w:t>
      </w:r>
      <w:proofErr w:type="spellStart"/>
      <w:proofErr w:type="gram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proofErr w:type="gramEnd"/>
      <w:r>
        <w:rPr>
          <w:rFonts w:ascii="Segoe UI" w:hAnsi="Segoe UI" w:cs="Segoe UI"/>
          <w:color w:val="212121"/>
          <w:shd w:val="clear" w:color="auto" w:fill="FFFFFF"/>
        </w:rPr>
        <w:t>: 10.1111/j.0006-341x.1999.00997.x. PMID: 11315092.</w:t>
      </w:r>
    </w:p>
  </w:comment>
  <w:comment w:id="3" w:author="x" w:date="2024-09-09T00:16:00Z" w:initials="x">
    <w:p w14:paraId="6397E668" w14:textId="77777777" w:rsidR="00A57858" w:rsidRDefault="00A57858" w:rsidP="00A57858">
      <w:pPr>
        <w:pStyle w:val="ab"/>
        <w:ind w:firstLine="420"/>
      </w:pPr>
      <w:r>
        <w:rPr>
          <w:rStyle w:val="aa"/>
        </w:rPr>
        <w:annotationRef/>
      </w:r>
      <w:r>
        <w:rPr>
          <w:rFonts w:ascii="Segoe UI" w:hAnsi="Segoe UI" w:cs="Segoe UI"/>
          <w:color w:val="222222"/>
          <w:shd w:val="clear" w:color="auto" w:fill="FFFFFF"/>
        </w:rPr>
        <w:t>Pan, H., Liu, Z., Ma, J.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Genome-wide association study using whole-genome sequencing identifies risk loci for Parkinson’s disease in Chinese population. </w:t>
      </w:r>
      <w:proofErr w:type="spellStart"/>
      <w:proofErr w:type="gramStart"/>
      <w:r>
        <w:rPr>
          <w:rFonts w:ascii="Segoe UI" w:hAnsi="Segoe UI" w:cs="Segoe UI"/>
          <w:i/>
          <w:iCs/>
          <w:color w:val="222222"/>
          <w:shd w:val="clear" w:color="auto" w:fill="FFFFFF"/>
        </w:rPr>
        <w:t>npj</w:t>
      </w:r>
      <w:proofErr w:type="spellEnd"/>
      <w:proofErr w:type="gramEnd"/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Parkinsons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 Dis.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9</w:t>
      </w:r>
      <w:r>
        <w:rPr>
          <w:rFonts w:ascii="Segoe UI" w:hAnsi="Segoe UI" w:cs="Segoe UI"/>
          <w:color w:val="222222"/>
          <w:shd w:val="clear" w:color="auto" w:fill="FFFFFF"/>
        </w:rPr>
        <w:t>, 22 (2023). https://doi.org/10.1038/s41531-023-00456-6</w:t>
      </w:r>
    </w:p>
  </w:comment>
  <w:comment w:id="4" w:author="x" w:date="2024-09-09T00:03:00Z" w:initials="x">
    <w:p w14:paraId="472E028F" w14:textId="1A412672" w:rsidR="00D205EB" w:rsidRDefault="00D205EB">
      <w:pPr>
        <w:pStyle w:val="ab"/>
        <w:ind w:firstLine="420"/>
      </w:pPr>
      <w:r>
        <w:rPr>
          <w:rStyle w:val="aa"/>
        </w:rPr>
        <w:annotationRef/>
      </w:r>
      <w:r w:rsidRPr="00D205EB">
        <w:t>https://doi.org/10.1002/gepi.20509</w:t>
      </w:r>
    </w:p>
  </w:comment>
  <w:comment w:id="5" w:author="x" w:date="2024-09-09T01:01:00Z" w:initials="x">
    <w:p w14:paraId="2AD0E9A6" w14:textId="6A913484" w:rsidR="0032450C" w:rsidRDefault="0032450C">
      <w:pPr>
        <w:pStyle w:val="ab"/>
        <w:ind w:firstLine="420"/>
      </w:pPr>
      <w:r>
        <w:rPr>
          <w:rStyle w:val="aa"/>
        </w:rPr>
        <w:annotationRef/>
      </w:r>
      <w:r>
        <w:rPr>
          <w:rFonts w:ascii="Helvetica" w:hAnsi="Helvetica"/>
          <w:color w:val="222222"/>
          <w:shd w:val="clear" w:color="auto" w:fill="FFFFFF"/>
        </w:rPr>
        <w:t xml:space="preserve">Fang, Y., Wang, Y. &amp;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Sha</w:t>
      </w:r>
      <w:proofErr w:type="spellEnd"/>
      <w:r>
        <w:rPr>
          <w:rFonts w:ascii="Helvetica" w:hAnsi="Helvetica"/>
          <w:color w:val="222222"/>
          <w:shd w:val="clear" w:color="auto" w:fill="FFFFFF"/>
        </w:rPr>
        <w:t>, N. Armitage's trend test for genome-wide association analysis: one-sided or two-sided</w:t>
      </w:r>
      <w:proofErr w:type="gramStart"/>
      <w:r>
        <w:rPr>
          <w:rFonts w:ascii="Helvetica" w:hAnsi="Helvetica"/>
          <w:color w:val="222222"/>
          <w:shd w:val="clear" w:color="auto" w:fill="FFFFFF"/>
        </w:rPr>
        <w:t>?.</w:t>
      </w:r>
      <w:proofErr w:type="gramEnd"/>
      <w:r>
        <w:rPr>
          <w:rFonts w:ascii="Helvetica" w:hAnsi="Helvetica"/>
          <w:color w:val="222222"/>
          <w:shd w:val="clear" w:color="auto" w:fill="FFFFFF"/>
        </w:rPr>
        <w:t> </w:t>
      </w:r>
      <w:r>
        <w:rPr>
          <w:rFonts w:ascii="Helvetica" w:hAnsi="Helvetica"/>
          <w:i/>
          <w:iCs/>
          <w:color w:val="222222"/>
          <w:shd w:val="clear" w:color="auto" w:fill="FFFFFF"/>
        </w:rPr>
        <w:t xml:space="preserve">BMC </w:t>
      </w:r>
      <w:proofErr w:type="spellStart"/>
      <w:r>
        <w:rPr>
          <w:rFonts w:ascii="Helvetica" w:hAnsi="Helvetica"/>
          <w:i/>
          <w:iCs/>
          <w:color w:val="222222"/>
          <w:shd w:val="clear" w:color="auto" w:fill="FFFFFF"/>
        </w:rPr>
        <w:t>Proc</w:t>
      </w:r>
      <w:proofErr w:type="spellEnd"/>
      <w:r>
        <w:rPr>
          <w:rFonts w:ascii="Helvetica" w:hAnsi="Helvetica"/>
          <w:color w:val="222222"/>
          <w:shd w:val="clear" w:color="auto" w:fill="FFFFFF"/>
        </w:rPr>
        <w:t> </w:t>
      </w:r>
      <w:r>
        <w:rPr>
          <w:rFonts w:ascii="Helvetica" w:hAnsi="Helvetica"/>
          <w:b/>
          <w:bCs/>
          <w:color w:val="222222"/>
          <w:shd w:val="clear" w:color="auto" w:fill="FFFFFF"/>
        </w:rPr>
        <w:t>3</w:t>
      </w:r>
      <w:r>
        <w:rPr>
          <w:rFonts w:ascii="Helvetica" w:hAnsi="Helvetica"/>
          <w:color w:val="222222"/>
          <w:shd w:val="clear" w:color="auto" w:fill="FFFFFF"/>
        </w:rPr>
        <w:t> (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Suppl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7), S37 (2009). https://doi.org/10.1186/1753-6561-3-S7-S37</w:t>
      </w:r>
    </w:p>
  </w:comment>
  <w:comment w:id="6" w:author="x" w:date="2024-09-09T02:30:00Z" w:initials="x">
    <w:p w14:paraId="78FA7FA1" w14:textId="67AC2981" w:rsidR="003D08F9" w:rsidRPr="003D08F9" w:rsidRDefault="003D08F9">
      <w:pPr>
        <w:pStyle w:val="ab"/>
        <w:ind w:firstLine="420"/>
      </w:pPr>
      <w:r>
        <w:rPr>
          <w:rStyle w:val="aa"/>
        </w:rPr>
        <w:annotationRef/>
      </w:r>
      <w:r>
        <w:rPr>
          <w:rFonts w:ascii="Segoe UI" w:hAnsi="Segoe UI" w:cs="Segoe UI"/>
          <w:color w:val="212121"/>
          <w:shd w:val="clear" w:color="auto" w:fill="FFFFFF"/>
        </w:rPr>
        <w:t xml:space="preserve">Lee S,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Emond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MJ,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Bamshad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MJ, Barnes KC,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Rieder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MJ, Nickerson DA; NHLBI GO Exome Sequencing Project—ESP Lung Project Team;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Christiani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DC,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Wurfel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MM, Lin X. Optimal unified approach for rare-variant association testing with application to small-sample case-control whole-exome sequencing studies. Am J Hum Genet. 2012 Aug 10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;91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(2):224-37. </w:t>
      </w:r>
      <w:proofErr w:type="spellStart"/>
      <w:proofErr w:type="gram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: 10.1016/j.ajhg.2012.06.007.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Epub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2012 Aug 2. PMID: 22863193; PMCID: PMC3415556.</w:t>
      </w:r>
    </w:p>
  </w:comment>
  <w:comment w:id="7" w:author="x" w:date="2024-09-09T01:59:00Z" w:initials="x">
    <w:p w14:paraId="692DE9C0" w14:textId="77777777" w:rsidR="004E6BEE" w:rsidRDefault="004E6BEE" w:rsidP="004E6BEE">
      <w:pPr>
        <w:pStyle w:val="ab"/>
        <w:ind w:firstLine="420"/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aa"/>
        </w:rPr>
        <w:annotationRef/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Manolio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T., Collins, F., Cox, N.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Finding the missing heritability of complex diseases.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461</w:t>
      </w:r>
      <w:r>
        <w:rPr>
          <w:rFonts w:ascii="Segoe UI" w:hAnsi="Segoe UI" w:cs="Segoe UI"/>
          <w:color w:val="222222"/>
          <w:shd w:val="clear" w:color="auto" w:fill="FFFFFF"/>
        </w:rPr>
        <w:t>, 747–753 (2009). https://doi.org/10.1038/nature08494</w:t>
      </w:r>
    </w:p>
    <w:p w14:paraId="216D50BB" w14:textId="77777777" w:rsidR="004E6BEE" w:rsidRDefault="004E6BEE" w:rsidP="004E6BEE">
      <w:pPr>
        <w:pStyle w:val="ab"/>
        <w:ind w:firstLine="480"/>
        <w:rPr>
          <w:rFonts w:ascii="Segoe UI" w:hAnsi="Segoe UI" w:cs="Segoe UI"/>
          <w:color w:val="222222"/>
          <w:shd w:val="clear" w:color="auto" w:fill="FFFFFF"/>
        </w:rPr>
      </w:pPr>
    </w:p>
    <w:p w14:paraId="79BED193" w14:textId="77777777" w:rsidR="004E6BEE" w:rsidRDefault="00E1731B" w:rsidP="004E6BEE">
      <w:pPr>
        <w:pStyle w:val="ab"/>
        <w:ind w:firstLine="480"/>
      </w:pPr>
      <w:hyperlink r:id="rId1" w:history="1">
        <w:r w:rsidR="004E6BEE">
          <w:rPr>
            <w:rStyle w:val="af3"/>
            <w:rFonts w:ascii="Arial" w:hAnsi="Arial" w:cs="Arial"/>
            <w:sz w:val="21"/>
            <w:szCs w:val="21"/>
            <w:shd w:val="clear" w:color="auto" w:fill="FFFFFF"/>
          </w:rPr>
          <w:t>https://doi.org/10.1073/pnas.1119675109</w:t>
        </w:r>
      </w:hyperlink>
    </w:p>
    <w:p w14:paraId="287AE4B9" w14:textId="77777777" w:rsidR="004E6BEE" w:rsidRDefault="004E6BEE" w:rsidP="004E6BEE">
      <w:pPr>
        <w:pStyle w:val="ab"/>
        <w:ind w:firstLine="480"/>
      </w:pPr>
    </w:p>
    <w:p w14:paraId="0DA54B7A" w14:textId="77777777" w:rsidR="004E6BEE" w:rsidRDefault="004E6BEE" w:rsidP="004E6BEE">
      <w:pPr>
        <w:pStyle w:val="ab"/>
        <w:ind w:firstLine="460"/>
      </w:pPr>
      <w:r>
        <w:rPr>
          <w:rFonts w:ascii="Helvetica" w:hAnsi="Helvetica"/>
          <w:color w:val="2A2A2A"/>
          <w:sz w:val="23"/>
          <w:szCs w:val="23"/>
          <w:shd w:val="clear" w:color="auto" w:fill="FFFFFF"/>
        </w:rPr>
        <w:t xml:space="preserve">Montgomery </w:t>
      </w:r>
      <w:proofErr w:type="spellStart"/>
      <w:r>
        <w:rPr>
          <w:rFonts w:ascii="Helvetica" w:hAnsi="Helvetica"/>
          <w:color w:val="2A2A2A"/>
          <w:sz w:val="23"/>
          <w:szCs w:val="23"/>
          <w:shd w:val="clear" w:color="auto" w:fill="FFFFFF"/>
        </w:rPr>
        <w:t>Slatkin</w:t>
      </w:r>
      <w:proofErr w:type="spellEnd"/>
      <w:r>
        <w:rPr>
          <w:rFonts w:ascii="Helvetica" w:hAnsi="Helvetica"/>
          <w:color w:val="2A2A2A"/>
          <w:sz w:val="23"/>
          <w:szCs w:val="23"/>
          <w:shd w:val="clear" w:color="auto" w:fill="FFFFFF"/>
        </w:rPr>
        <w:t>, Epigenetic Inheritance and the Missing Heritability Problem, </w:t>
      </w:r>
      <w:r>
        <w:rPr>
          <w:rStyle w:val="af1"/>
          <w:rFonts w:ascii="Helvetica" w:hAnsi="Helvetica"/>
          <w:color w:val="2A2A2A"/>
          <w:sz w:val="23"/>
          <w:szCs w:val="23"/>
          <w:bdr w:val="none" w:sz="0" w:space="0" w:color="auto" w:frame="1"/>
          <w:shd w:val="clear" w:color="auto" w:fill="FFFFFF"/>
        </w:rPr>
        <w:t>Genetics</w:t>
      </w:r>
      <w:r>
        <w:rPr>
          <w:rFonts w:ascii="Helvetica" w:hAnsi="Helvetica"/>
          <w:color w:val="2A2A2A"/>
          <w:sz w:val="23"/>
          <w:szCs w:val="23"/>
          <w:shd w:val="clear" w:color="auto" w:fill="FFFFFF"/>
        </w:rPr>
        <w:t>, Volume 182, Issue 3, 1 July 2009, Pages 845–850, </w:t>
      </w:r>
      <w:hyperlink r:id="rId2" w:history="1">
        <w:r>
          <w:rPr>
            <w:rStyle w:val="af3"/>
            <w:rFonts w:ascii="Helvetica" w:hAnsi="Helvetica"/>
            <w:color w:val="006FB7"/>
            <w:sz w:val="23"/>
            <w:szCs w:val="23"/>
            <w:bdr w:val="none" w:sz="0" w:space="0" w:color="auto" w:frame="1"/>
            <w:shd w:val="clear" w:color="auto" w:fill="FFFFFF"/>
          </w:rPr>
          <w:t>https://doi.org/10.1534/genetics.109.102798</w:t>
        </w:r>
      </w:hyperlink>
    </w:p>
    <w:p w14:paraId="194D38A0" w14:textId="77777777" w:rsidR="004E6BEE" w:rsidRDefault="004E6BEE" w:rsidP="004E6BEE">
      <w:pPr>
        <w:pStyle w:val="ab"/>
        <w:ind w:firstLine="480"/>
      </w:pPr>
    </w:p>
    <w:p w14:paraId="42821988" w14:textId="77777777" w:rsidR="004E6BEE" w:rsidRPr="00C60978" w:rsidRDefault="004E6BEE" w:rsidP="004E6BEE">
      <w:pPr>
        <w:pStyle w:val="ab"/>
        <w:ind w:firstLine="480"/>
      </w:pPr>
      <w:r w:rsidRPr="00C60978">
        <w:t>https://doi.org/10.1371/journal.pone.0068913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C22902" w15:done="0"/>
  <w15:commentEx w15:paraId="6397E668" w15:done="0"/>
  <w15:commentEx w15:paraId="472E028F" w15:done="0"/>
  <w15:commentEx w15:paraId="2AD0E9A6" w15:done="0"/>
  <w15:commentEx w15:paraId="78FA7FA1" w15:done="0"/>
  <w15:commentEx w15:paraId="4282198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9FF7F" w14:textId="77777777" w:rsidR="00E1731B" w:rsidRDefault="00E1731B" w:rsidP="00A3785C">
      <w:pPr>
        <w:spacing w:line="240" w:lineRule="auto"/>
        <w:ind w:firstLine="480"/>
      </w:pPr>
      <w:r>
        <w:separator/>
      </w:r>
    </w:p>
  </w:endnote>
  <w:endnote w:type="continuationSeparator" w:id="0">
    <w:p w14:paraId="0A1C8A17" w14:textId="77777777" w:rsidR="00E1731B" w:rsidRDefault="00E1731B" w:rsidP="00A3785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D7F91" w14:textId="77777777" w:rsidR="00846154" w:rsidRDefault="0084615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10952" w14:textId="77777777" w:rsidR="00846154" w:rsidRDefault="0084615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1A158" w14:textId="77777777" w:rsidR="00846154" w:rsidRDefault="0084615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932BD" w14:textId="77777777" w:rsidR="00E1731B" w:rsidRDefault="00E1731B" w:rsidP="00A3785C">
      <w:pPr>
        <w:spacing w:line="240" w:lineRule="auto"/>
        <w:ind w:firstLine="480"/>
      </w:pPr>
      <w:r>
        <w:separator/>
      </w:r>
    </w:p>
  </w:footnote>
  <w:footnote w:type="continuationSeparator" w:id="0">
    <w:p w14:paraId="6196DA9F" w14:textId="77777777" w:rsidR="00E1731B" w:rsidRDefault="00E1731B" w:rsidP="00A3785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CDD48" w14:textId="77777777" w:rsidR="00846154" w:rsidRDefault="0084615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F28E5" w14:textId="77777777" w:rsidR="00846154" w:rsidRDefault="0084615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CECEA" w14:textId="77777777" w:rsidR="00846154" w:rsidRDefault="00846154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">
    <w15:presenceInfo w15:providerId="None" w15:userId="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A86"/>
    <w:rsid w:val="00070C69"/>
    <w:rsid w:val="000D62D2"/>
    <w:rsid w:val="000F45C0"/>
    <w:rsid w:val="000F48F1"/>
    <w:rsid w:val="001224EA"/>
    <w:rsid w:val="0015758D"/>
    <w:rsid w:val="00161A60"/>
    <w:rsid w:val="001630A5"/>
    <w:rsid w:val="00182D11"/>
    <w:rsid w:val="0021057C"/>
    <w:rsid w:val="00226D81"/>
    <w:rsid w:val="0025077B"/>
    <w:rsid w:val="002A2741"/>
    <w:rsid w:val="002C30AD"/>
    <w:rsid w:val="002E13C3"/>
    <w:rsid w:val="002E6C47"/>
    <w:rsid w:val="003003B9"/>
    <w:rsid w:val="00305528"/>
    <w:rsid w:val="0032450C"/>
    <w:rsid w:val="003305CC"/>
    <w:rsid w:val="00350973"/>
    <w:rsid w:val="003824F5"/>
    <w:rsid w:val="00386954"/>
    <w:rsid w:val="003C46EF"/>
    <w:rsid w:val="003C64C9"/>
    <w:rsid w:val="003D08F9"/>
    <w:rsid w:val="003E032E"/>
    <w:rsid w:val="003E2E22"/>
    <w:rsid w:val="00402977"/>
    <w:rsid w:val="00405A5A"/>
    <w:rsid w:val="00423DB1"/>
    <w:rsid w:val="00434400"/>
    <w:rsid w:val="004A07B3"/>
    <w:rsid w:val="004E38D0"/>
    <w:rsid w:val="004E5370"/>
    <w:rsid w:val="004E6BBC"/>
    <w:rsid w:val="004E6BEE"/>
    <w:rsid w:val="00503901"/>
    <w:rsid w:val="0051099A"/>
    <w:rsid w:val="005475B9"/>
    <w:rsid w:val="00577C94"/>
    <w:rsid w:val="005838C8"/>
    <w:rsid w:val="00591187"/>
    <w:rsid w:val="005A554E"/>
    <w:rsid w:val="005A64EB"/>
    <w:rsid w:val="005C1A14"/>
    <w:rsid w:val="005E4FB1"/>
    <w:rsid w:val="005F1A50"/>
    <w:rsid w:val="00610BDF"/>
    <w:rsid w:val="00624C86"/>
    <w:rsid w:val="0064205B"/>
    <w:rsid w:val="00647E14"/>
    <w:rsid w:val="00665B8F"/>
    <w:rsid w:val="006660AE"/>
    <w:rsid w:val="006D185D"/>
    <w:rsid w:val="006D42A7"/>
    <w:rsid w:val="006F5167"/>
    <w:rsid w:val="00730212"/>
    <w:rsid w:val="00757405"/>
    <w:rsid w:val="00761865"/>
    <w:rsid w:val="00762A29"/>
    <w:rsid w:val="007827F7"/>
    <w:rsid w:val="00782818"/>
    <w:rsid w:val="00785CB7"/>
    <w:rsid w:val="00792C24"/>
    <w:rsid w:val="007C090A"/>
    <w:rsid w:val="007C51F2"/>
    <w:rsid w:val="007F3BAA"/>
    <w:rsid w:val="007F5120"/>
    <w:rsid w:val="00845373"/>
    <w:rsid w:val="00846154"/>
    <w:rsid w:val="00846B46"/>
    <w:rsid w:val="00870A86"/>
    <w:rsid w:val="008804E3"/>
    <w:rsid w:val="00883601"/>
    <w:rsid w:val="00893845"/>
    <w:rsid w:val="008A5BD4"/>
    <w:rsid w:val="008C0EAC"/>
    <w:rsid w:val="008E008A"/>
    <w:rsid w:val="008F5742"/>
    <w:rsid w:val="009411BB"/>
    <w:rsid w:val="00942FD4"/>
    <w:rsid w:val="00963C09"/>
    <w:rsid w:val="009754C1"/>
    <w:rsid w:val="0098236E"/>
    <w:rsid w:val="009B3596"/>
    <w:rsid w:val="009E075A"/>
    <w:rsid w:val="009E773B"/>
    <w:rsid w:val="00A10100"/>
    <w:rsid w:val="00A13070"/>
    <w:rsid w:val="00A3785C"/>
    <w:rsid w:val="00A401FD"/>
    <w:rsid w:val="00A429D0"/>
    <w:rsid w:val="00A57858"/>
    <w:rsid w:val="00A6317A"/>
    <w:rsid w:val="00B01C98"/>
    <w:rsid w:val="00B12B04"/>
    <w:rsid w:val="00B37056"/>
    <w:rsid w:val="00B61EAA"/>
    <w:rsid w:val="00B77F7E"/>
    <w:rsid w:val="00B86FCD"/>
    <w:rsid w:val="00B97CAA"/>
    <w:rsid w:val="00BA4914"/>
    <w:rsid w:val="00BC7CD6"/>
    <w:rsid w:val="00BE7C82"/>
    <w:rsid w:val="00BF75B1"/>
    <w:rsid w:val="00C0715F"/>
    <w:rsid w:val="00C60978"/>
    <w:rsid w:val="00C812F4"/>
    <w:rsid w:val="00C821F3"/>
    <w:rsid w:val="00CA5922"/>
    <w:rsid w:val="00D205EB"/>
    <w:rsid w:val="00D25E31"/>
    <w:rsid w:val="00D819AA"/>
    <w:rsid w:val="00D90B3C"/>
    <w:rsid w:val="00E10363"/>
    <w:rsid w:val="00E1731B"/>
    <w:rsid w:val="00E24C2A"/>
    <w:rsid w:val="00E444D2"/>
    <w:rsid w:val="00E55381"/>
    <w:rsid w:val="00E57819"/>
    <w:rsid w:val="00E615C8"/>
    <w:rsid w:val="00E830D0"/>
    <w:rsid w:val="00E876DF"/>
    <w:rsid w:val="00EC2C2E"/>
    <w:rsid w:val="00ED08E6"/>
    <w:rsid w:val="00EE3742"/>
    <w:rsid w:val="00F4251C"/>
    <w:rsid w:val="00F5612A"/>
    <w:rsid w:val="00F61171"/>
    <w:rsid w:val="00F900B9"/>
    <w:rsid w:val="00FE374E"/>
    <w:rsid w:val="00FE64F6"/>
    <w:rsid w:val="00F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B037F"/>
  <w15:chartTrackingRefBased/>
  <w15:docId w15:val="{19073888-F6D0-44B9-AEBC-B88A29CC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5C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8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85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E6C47"/>
    <w:rPr>
      <w:color w:val="808080"/>
    </w:rPr>
  </w:style>
  <w:style w:type="paragraph" w:customStyle="1" w:styleId="FirstParagraph">
    <w:name w:val="First Paragraph"/>
    <w:basedOn w:val="a8"/>
    <w:next w:val="a8"/>
    <w:qFormat/>
    <w:rsid w:val="00423DB1"/>
    <w:pPr>
      <w:spacing w:before="180" w:after="180" w:line="240" w:lineRule="auto"/>
      <w:ind w:firstLineChars="0" w:firstLine="0"/>
      <w:jc w:val="left"/>
    </w:pPr>
    <w:rPr>
      <w:rFonts w:asciiTheme="minorHAnsi" w:eastAsiaTheme="minorEastAsia" w:hAnsiTheme="minorHAnsi"/>
      <w:kern w:val="0"/>
      <w:szCs w:val="24"/>
      <w:lang w:eastAsia="en-US"/>
    </w:rPr>
  </w:style>
  <w:style w:type="paragraph" w:styleId="a8">
    <w:name w:val="Body Text"/>
    <w:basedOn w:val="a"/>
    <w:link w:val="a9"/>
    <w:uiPriority w:val="99"/>
    <w:semiHidden/>
    <w:unhideWhenUsed/>
    <w:rsid w:val="00423DB1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423DB1"/>
    <w:rPr>
      <w:rFonts w:ascii="Times New Roman" w:eastAsia="宋体" w:hAnsi="Times New Roman"/>
      <w:sz w:val="24"/>
    </w:rPr>
  </w:style>
  <w:style w:type="character" w:customStyle="1" w:styleId="katex-mathml">
    <w:name w:val="katex-mathml"/>
    <w:basedOn w:val="a0"/>
    <w:rsid w:val="004E6BBC"/>
  </w:style>
  <w:style w:type="character" w:customStyle="1" w:styleId="mord">
    <w:name w:val="mord"/>
    <w:basedOn w:val="a0"/>
    <w:rsid w:val="004E6BBC"/>
  </w:style>
  <w:style w:type="character" w:customStyle="1" w:styleId="mopen">
    <w:name w:val="mopen"/>
    <w:basedOn w:val="a0"/>
    <w:rsid w:val="004E6BBC"/>
  </w:style>
  <w:style w:type="character" w:customStyle="1" w:styleId="mclose">
    <w:name w:val="mclose"/>
    <w:basedOn w:val="a0"/>
    <w:rsid w:val="004E6BBC"/>
  </w:style>
  <w:style w:type="character" w:styleId="aa">
    <w:name w:val="annotation reference"/>
    <w:basedOn w:val="a0"/>
    <w:uiPriority w:val="99"/>
    <w:semiHidden/>
    <w:unhideWhenUsed/>
    <w:rsid w:val="00A401F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401F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A401FD"/>
    <w:rPr>
      <w:rFonts w:ascii="Times New Roman" w:eastAsia="宋体" w:hAnsi="Times New Roman"/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401F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401FD"/>
    <w:rPr>
      <w:rFonts w:ascii="Times New Roman" w:eastAsia="宋体" w:hAnsi="Times New Roman"/>
      <w:b/>
      <w:bCs/>
      <w:sz w:val="24"/>
    </w:rPr>
  </w:style>
  <w:style w:type="paragraph" w:styleId="af">
    <w:name w:val="Balloon Text"/>
    <w:basedOn w:val="a"/>
    <w:link w:val="af0"/>
    <w:uiPriority w:val="99"/>
    <w:semiHidden/>
    <w:unhideWhenUsed/>
    <w:rsid w:val="00A401FD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401FD"/>
    <w:rPr>
      <w:rFonts w:ascii="Times New Roman" w:eastAsia="宋体" w:hAnsi="Times New Roman"/>
      <w:sz w:val="18"/>
      <w:szCs w:val="18"/>
    </w:rPr>
  </w:style>
  <w:style w:type="character" w:styleId="af1">
    <w:name w:val="Emphasis"/>
    <w:basedOn w:val="a0"/>
    <w:uiPriority w:val="20"/>
    <w:qFormat/>
    <w:rsid w:val="00E615C8"/>
    <w:rPr>
      <w:i/>
      <w:iCs/>
    </w:rPr>
  </w:style>
  <w:style w:type="character" w:customStyle="1" w:styleId="vlist-s">
    <w:name w:val="vlist-s"/>
    <w:basedOn w:val="a0"/>
    <w:rsid w:val="00846154"/>
  </w:style>
  <w:style w:type="character" w:styleId="af2">
    <w:name w:val="Strong"/>
    <w:basedOn w:val="a0"/>
    <w:uiPriority w:val="22"/>
    <w:qFormat/>
    <w:rsid w:val="00350973"/>
    <w:rPr>
      <w:b/>
      <w:bCs/>
    </w:rPr>
  </w:style>
  <w:style w:type="character" w:customStyle="1" w:styleId="anchor-text">
    <w:name w:val="anchor-text"/>
    <w:basedOn w:val="a0"/>
    <w:rsid w:val="00591187"/>
  </w:style>
  <w:style w:type="character" w:styleId="af3">
    <w:name w:val="Hyperlink"/>
    <w:basedOn w:val="a0"/>
    <w:uiPriority w:val="99"/>
    <w:semiHidden/>
    <w:unhideWhenUsed/>
    <w:rsid w:val="00C60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1534/genetics.109.102798" TargetMode="External"/><Relationship Id="rId1" Type="http://schemas.openxmlformats.org/officeDocument/2006/relationships/hyperlink" Target="https://doi.org/10.1073/pnas.1119675109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00BBFF-3418-4F96-B9FA-19E563D22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3746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99</cp:revision>
  <dcterms:created xsi:type="dcterms:W3CDTF">2024-09-06T07:27:00Z</dcterms:created>
  <dcterms:modified xsi:type="dcterms:W3CDTF">2024-09-09T05:42:00Z</dcterms:modified>
</cp:coreProperties>
</file>