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>
          <w:b w:val="1"/>
          <w:sz w:val="46"/>
          <w:szCs w:val="46"/>
        </w:rPr>
      </w:pPr>
      <w:bookmarkStart w:colFirst="0" w:colLast="0" w:name="_ihwvjh9bv71l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Stability of Dynamic Radiomics Features in Cardiac MRI Under Noise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superscript"/>
        </w:rPr>
      </w:pPr>
      <w:r w:rsidDel="00000000" w:rsidR="00000000" w:rsidRPr="00000000">
        <w:rPr>
          <w:rtl w:val="0"/>
        </w:rPr>
        <w:t xml:space="preserve">Mike D. Klaus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Fabian Laqua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Bettina Baeßler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Markus J. Ankenbrand</w:t>
      </w:r>
      <w:r w:rsidDel="00000000" w:rsidR="00000000" w:rsidRPr="00000000">
        <w:rPr>
          <w:vertAlign w:val="superscript"/>
          <w:rtl w:val="0"/>
        </w:rPr>
        <w:t xml:space="preserve">1,3,*</w:t>
      </w:r>
    </w:p>
    <w:p w:rsidR="00000000" w:rsidDel="00000000" w:rsidP="00000000" w:rsidRDefault="00000000" w:rsidRPr="00000000" w14:paraId="00000004">
      <w:pPr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vertAlign w:val="super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Center for Computational and Theoretical Biology, Julius-Maximilians-University Würzburg, Germany</w:t>
        <w:br w:type="textWrapping"/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Department of Diagnostic and Interventional Radiology, University Hospital of Würzburg, Germany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vertAlign w:val="super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Department of Bioinformatics, Julius-Maximilians-University Würzburg, Germany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vertAlign w:val="superscript"/>
          <w:rtl w:val="0"/>
        </w:rPr>
        <w:t xml:space="preserve">* </w:t>
      </w:r>
      <w:r w:rsidDel="00000000" w:rsidR="00000000" w:rsidRPr="00000000">
        <w:rPr>
          <w:rtl w:val="0"/>
        </w:rPr>
        <w:t xml:space="preserve">markus.ankenbrand@uni-wuerzburg.de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