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71618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Evaluation of the framework for mono-resistant vs. MDR/XDR profiles</w:t>
      </w:r>
    </w:p>
    <w:p w14:paraId="17A67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</w:rPr>
      </w:pPr>
      <w:r>
        <w:rPr>
          <w:rFonts w:hint="eastAsia"/>
        </w:rPr>
        <w:t>To further illustrate the applicability of the framework beyond per-drug predictions, we evaluated its ability to distinguish composite resistance profiles using the CRyPTIC dataset.</w:t>
      </w:r>
    </w:p>
    <w:p w14:paraId="2D8A010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Definitions</w:t>
      </w:r>
      <w:r>
        <w:rPr>
          <w:rFonts w:hint="eastAsia"/>
        </w:rPr>
        <w:t>:</w:t>
      </w:r>
    </w:p>
    <w:p w14:paraId="002726F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8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Rifampicin mono-resistance was defined as resistance to rifampicin (RIF-R) with susceptibility to the other first-line drugs.</w:t>
      </w:r>
    </w:p>
    <w:p w14:paraId="0036FF2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8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MDR/XDR was defined as co-resistance to rifampicin and isoniazid (RIF-R and INH-R). Because second-line DST data were largely missing, XDR could not be precisely defined and was therefore merged with MDR in this analysis.</w:t>
      </w:r>
    </w:p>
    <w:p w14:paraId="51F17ED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420" w:leftChars="0" w:hanging="420" w:firstLineChars="0"/>
        <w:textAlignment w:val="auto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Results:</w:t>
      </w:r>
    </w:p>
    <w:p w14:paraId="63B5EF2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8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 xml:space="preserve">The framework showed strong </w:t>
      </w:r>
      <w:r>
        <w:rPr>
          <w:rFonts w:hint="eastAsia"/>
        </w:rPr>
        <w:t>performance for identifying MDR/XDR cases (precision = 0.969, recall = 0.888).</w:t>
      </w:r>
    </w:p>
    <w:p w14:paraId="42CBEFB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8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For rifampicin mono-resistant isolates, the performance was lower (precision = 0.667, recall = 0.632) due to the very small sample size (n = 19).</w:t>
      </w:r>
    </w:p>
    <w:p w14:paraId="5A928136">
      <w:pPr>
        <w:jc w:val="center"/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Confusion matrix for rifampicin in CRyPTIC dataset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905"/>
        <w:gridCol w:w="1150"/>
        <w:gridCol w:w="1077"/>
        <w:gridCol w:w="850"/>
      </w:tblGrid>
      <w:tr w14:paraId="38D34E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474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tl2br w:val="single" w:color="auto" w:sz="6" w:space="0"/>
            </w:tcBorders>
          </w:tcPr>
          <w:p w14:paraId="4173DA4C">
            <w:pPr>
              <w:tabs>
                <w:tab w:val="left" w:pos="394"/>
                <w:tab w:val="left" w:pos="1180"/>
              </w:tabs>
              <w:spacing w:line="240" w:lineRule="auto"/>
              <w:rPr>
                <w:rFonts w:cs="Times New Roman" w:eastAsiaTheme="minorEastAsia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eastAsiaTheme="minorEastAsia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Predict </w:t>
            </w:r>
            <w:r>
              <w:rPr>
                <w:rFonts w:hint="eastAsia" w:cs="Times New Roman" w:eastAsiaTheme="minorEastAsia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 w:eastAsiaTheme="minorEastAsia"/>
                <w:i w:val="0"/>
                <w:iCs w:val="0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Times New Roman" w:eastAsiaTheme="minorEastAsia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905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 w14:paraId="148A5BBF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RIF-R</w:t>
            </w:r>
          </w:p>
        </w:tc>
        <w:tc>
          <w:tcPr>
            <w:tcW w:w="115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 w14:paraId="1AEE6277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MDR/XDR</w:t>
            </w:r>
          </w:p>
        </w:tc>
        <w:tc>
          <w:tcPr>
            <w:tcW w:w="1077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 w14:paraId="46442BEC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ther</w:t>
            </w:r>
          </w:p>
        </w:tc>
        <w:tc>
          <w:tcPr>
            <w:tcW w:w="85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 w14:paraId="4055DB85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um</w:t>
            </w:r>
          </w:p>
        </w:tc>
      </w:tr>
      <w:tr w14:paraId="4CBCB96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474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1D78DA14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RIF-R</w:t>
            </w:r>
          </w:p>
        </w:tc>
        <w:tc>
          <w:tcPr>
            <w:tcW w:w="905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4052F1DB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50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49152810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077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4BAECEEB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50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0C44F6CC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 w14:paraId="5CAD4ED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7F20FD87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MDR/XDR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2FAB19D5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520AC889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247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2BC068A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539CA6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</w:tr>
      <w:tr w14:paraId="12EDA1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7FB68A54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ther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18E5B739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3FB2BF2D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475D0766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F1BD07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165</w:t>
            </w:r>
          </w:p>
        </w:tc>
      </w:tr>
      <w:tr w14:paraId="6DBE06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1474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162B497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eastAsiaTheme="minorEastAsia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um</w:t>
            </w:r>
          </w:p>
        </w:tc>
        <w:tc>
          <w:tcPr>
            <w:tcW w:w="905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02B6D209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3AA45A31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278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E24E91D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90FC9CF">
            <w:pPr>
              <w:spacing w:line="240" w:lineRule="auto"/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i w:val="0"/>
                <w:i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438</w:t>
            </w:r>
          </w:p>
        </w:tc>
      </w:tr>
    </w:tbl>
    <w:p w14:paraId="76BEF52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  <w:b/>
          <w:bCs/>
          <w:sz w:val="22"/>
          <w:szCs w:val="28"/>
        </w:rPr>
        <w:t>Interpre</w:t>
      </w:r>
      <w:bookmarkStart w:id="0" w:name="_GoBack"/>
      <w:bookmarkEnd w:id="0"/>
      <w:r>
        <w:rPr>
          <w:rFonts w:hint="eastAsia"/>
          <w:b/>
          <w:bCs/>
          <w:sz w:val="22"/>
          <w:szCs w:val="28"/>
        </w:rPr>
        <w:t>tation</w:t>
      </w:r>
      <w:r>
        <w:rPr>
          <w:rFonts w:hint="eastAsia"/>
        </w:rPr>
        <w:t>:</w:t>
      </w:r>
    </w:p>
    <w:p w14:paraId="3EA762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</w:rPr>
      </w:pPr>
      <w:r>
        <w:rPr>
          <w:rFonts w:hint="eastAsia"/>
        </w:rPr>
        <w:t>These results demonstrate that the framework can be applied to profile-level classification derived from per-drug predictions. However, estimates for mono-resistance should be interpreted with caution given the limited number of available isolates. Larger cohorts with more complete DST data will be needed to systematically validate performance across resistance profiles.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9E9E5"/>
    <w:multiLevelType w:val="singleLevel"/>
    <w:tmpl w:val="9279E9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D9FC81"/>
    <w:multiLevelType w:val="singleLevel"/>
    <w:tmpl w:val="C1D9FC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CE182C5F"/>
    <w:multiLevelType w:val="singleLevel"/>
    <w:tmpl w:val="CE182C5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F3AFA"/>
    <w:rsid w:val="6C7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t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99"/>
    <w:rPr>
      <w:rFonts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2025-09-08T01:20:00Z</dcterms:created>
  <dc:creator>卉</dc:creator>
  <cp:lastModifiedBy>卉</cp:lastModifiedBy>
  <dcterms:modified xsi:type="dcterms:W3CDTF">2025-09-08T01:28:18Z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F33025CBA4264E68A057E398D28BF03B_11</vt:lpwstr>
  </property>
  <property fmtid="{D5CDD505-2E9C-101B-9397-08002B2CF9AE}" pid="4" name="KSOTemplateDocerSaveRecord">
    <vt:lpwstr>eyJoZGlkIjoiNDkwYjAwMWU4NmU3MGM3ODdlNTEyYmFjMDE3Yzc1Y2QiLCJ1c2VySWQiOiIyNzA5ODU1OTEifQ==</vt:lpwstr>
  </property>
</Properties>
</file>