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17.02.2016</w:t>
      </w:r>
    </w:p>
    <w:p>
      <w:pPr>
        <w:pStyle w:val="NoSpacing"/>
        <w:jc w:val="center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Colony PCR Protocol</w:t>
      </w:r>
    </w:p>
    <w:p>
      <w:pPr>
        <w:pStyle w:val="NoSpacing"/>
        <w:jc w:val="center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</w:r>
    </w:p>
    <w:p>
      <w:pPr>
        <w:pStyle w:val="NoSpacing"/>
        <w:numPr>
          <w:ilvl w:val="0"/>
          <w:numId w:val="1"/>
        </w:numPr>
        <w:rPr/>
      </w:pPr>
      <w:r>
        <w:rPr/>
        <w:t>Put all the necessary material to thaw on ice (except DNA polymerase, which remains in the freezer until the very last moment)</w:t>
      </w:r>
    </w:p>
    <w:p>
      <w:pPr>
        <w:pStyle w:val="NoSpacing"/>
        <w:numPr>
          <w:ilvl w:val="0"/>
          <w:numId w:val="1"/>
        </w:numPr>
        <w:rPr/>
      </w:pPr>
      <w:r>
        <w:rPr/>
        <w:t>Label PCR tubes and put them on ice</w:t>
      </w:r>
    </w:p>
    <w:p>
      <w:pPr>
        <w:pStyle w:val="NoSpacing"/>
        <w:numPr>
          <w:ilvl w:val="1"/>
          <w:numId w:val="1"/>
        </w:numPr>
        <w:rPr>
          <w:i/>
          <w:i/>
        </w:rPr>
      </w:pPr>
      <w:r>
        <w:rPr>
          <w:i/>
        </w:rPr>
        <w:t>Prevents enzymatic activity before the beginning of the PCR and prevents potential DNase to digest the DNA</w:t>
      </w:r>
    </w:p>
    <w:p>
      <w:pPr>
        <w:pStyle w:val="NoSpacing"/>
        <w:numPr>
          <w:ilvl w:val="0"/>
          <w:numId w:val="1"/>
        </w:numPr>
        <w:rPr/>
      </w:pPr>
      <w:r>
        <w:rPr/>
        <w:t>Resuspend every colony in 15</w:t>
      </w:r>
      <w:bookmarkStart w:id="0" w:name="_GoBack"/>
      <w:bookmarkEnd w:id="0"/>
      <w:r>
        <w:rPr/>
        <w:t>ul H2O</w:t>
      </w:r>
    </w:p>
    <w:p>
      <w:pPr>
        <w:pStyle w:val="NoSpacing"/>
        <w:numPr>
          <w:ilvl w:val="1"/>
          <w:numId w:val="1"/>
        </w:numPr>
        <w:rPr/>
      </w:pPr>
      <w:r>
        <w:rPr/>
        <w:t>Pick the colony with a tip and put it the water</w:t>
      </w:r>
    </w:p>
    <w:p>
      <w:pPr>
        <w:pStyle w:val="NoSpacing"/>
        <w:numPr>
          <w:ilvl w:val="1"/>
          <w:numId w:val="1"/>
        </w:numPr>
        <w:rPr/>
      </w:pPr>
      <w:r>
        <w:rPr/>
        <w:t>Do some up-and-downs in order to help resuspending the cells</w:t>
      </w:r>
    </w:p>
    <w:p>
      <w:pPr>
        <w:pStyle w:val="NoSpacing"/>
        <w:numPr>
          <w:ilvl w:val="1"/>
          <w:numId w:val="1"/>
        </w:numPr>
        <w:rPr>
          <w:i/>
          <w:i/>
        </w:rPr>
      </w:pPr>
      <w:r>
        <w:rPr>
          <w:i/>
        </w:rPr>
        <w:t>Makes sure that you keep track of your colony and also triggers cell lysis by osmosis shock</w:t>
      </w:r>
    </w:p>
    <w:p>
      <w:pPr>
        <w:pStyle w:val="NoSpacing"/>
        <w:numPr>
          <w:ilvl w:val="0"/>
          <w:numId w:val="1"/>
        </w:numPr>
        <w:rPr/>
      </w:pPr>
      <w:r>
        <w:rPr/>
        <w:t>Prepare the PCR Mix (number of colonies + 1X/10 colonies)</w:t>
      </w:r>
    </w:p>
    <w:p>
      <w:pPr>
        <w:pStyle w:val="NoSpacing"/>
        <w:numPr>
          <w:ilvl w:val="1"/>
          <w:numId w:val="1"/>
        </w:numPr>
        <w:rPr>
          <w:i/>
          <w:i/>
        </w:rPr>
      </w:pPr>
      <w:r>
        <w:rPr>
          <w:i/>
        </w:rPr>
        <w:t>Saves time rather than to do it tube by tube</w:t>
      </w:r>
    </w:p>
    <w:p>
      <w:pPr>
        <w:pStyle w:val="NoSpacing"/>
        <w:numPr>
          <w:ilvl w:val="1"/>
          <w:numId w:val="1"/>
        </w:numPr>
        <w:rPr>
          <w:i/>
          <w:i/>
        </w:rPr>
      </w:pPr>
      <w:r>
        <w:rPr>
          <w:i/>
        </w:rPr>
        <w:t>Avoids tube-to-tube variability</w:t>
      </w:r>
    </w:p>
    <w:p>
      <w:pPr>
        <w:pStyle w:val="NoSpacing"/>
        <w:numPr>
          <w:ilvl w:val="1"/>
          <w:numId w:val="1"/>
        </w:numPr>
        <w:rPr>
          <w:i/>
          <w:i/>
        </w:rPr>
      </w:pPr>
      <w:r>
        <w:rPr>
          <w:i/>
        </w:rPr>
        <w:t>Avoids pipetting very small volumes (increases error risk)</w:t>
      </w:r>
    </w:p>
    <w:p>
      <w:pPr>
        <w:pStyle w:val="NoSpacing"/>
        <w:numPr>
          <w:ilvl w:val="1"/>
          <w:numId w:val="1"/>
        </w:numPr>
        <w:rPr>
          <w:i/>
          <w:i/>
        </w:rPr>
      </w:pPr>
      <w:r>
        <w:rPr>
          <w:i/>
        </w:rPr>
        <w:t>The additional 1X compensates the loss of Mix solution by pipetting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jc w:val="center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Colony PCR Mixes:</w:t>
      </w:r>
    </w:p>
    <w:p>
      <w:pPr>
        <w:pStyle w:val="NoSpacing"/>
        <w:jc w:val="center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</w:r>
    </w:p>
    <w:tbl>
      <w:tblPr>
        <w:tblW w:w="9010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a0" w:noHBand="0" w:noVBand="1" w:firstColumn="1" w:lastRow="0" w:lastColumn="0" w:firstRow="1"/>
      </w:tblPr>
      <w:tblGrid>
        <w:gridCol w:w="1803"/>
        <w:gridCol w:w="851"/>
        <w:gridCol w:w="1053"/>
        <w:gridCol w:w="925"/>
        <w:gridCol w:w="1274"/>
        <w:gridCol w:w="1451"/>
        <w:gridCol w:w="1652"/>
      </w:tblGrid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Component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25 μl reaction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Mix (10X)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Mix (15X)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Mix (20X)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Mix (50X)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Final Concentration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Nuclease-free water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14.3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143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214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286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715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5X Standard Taq Reaction Buffer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1X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 mM dNTPs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7.5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200 µM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  <w:t>10 µM Primer 1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0.5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5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7.5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0.2 µM (0.05–1 µM)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  <w:t>10 µM Primer 2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0.5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5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7.5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0.2 µM (0.05–1 µM)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Resuspended colony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&lt;1,000 ng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MgCl2 (25mM)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mM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Flexi</w:t>
            </w:r>
            <w:r>
              <w:rPr>
                <w:b/>
                <w:sz w:val="16"/>
                <w:szCs w:val="16"/>
              </w:rPr>
              <w:t> Polymerase (5U/ul)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0.15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ul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 ul</w:t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7.5 ul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0.75 unit</w:t>
            </w:r>
          </w:p>
        </w:tc>
      </w:tr>
      <w:tr>
        <w:trPr/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 Volume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ul</w:t>
            </w:r>
          </w:p>
        </w:tc>
        <w:tc>
          <w:tcPr>
            <w:tcW w:w="1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250 ul 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375 ul</w:t>
            </w:r>
          </w:p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500 ul</w:t>
            </w:r>
          </w:p>
        </w:tc>
        <w:tc>
          <w:tcPr>
            <w:tcW w:w="1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2F2F2" w:themeFill="background1" w:themeFillShade="f2" w:val="clea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1250 ul</w:t>
            </w:r>
          </w:p>
        </w:tc>
        <w:tc>
          <w:tcPr>
            <w:tcW w:w="1652" w:type="dxa"/>
            <w:tcBorders/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numPr>
          <w:ilvl w:val="0"/>
          <w:numId w:val="1"/>
        </w:numPr>
        <w:rPr/>
      </w:pPr>
      <w:r>
        <w:rPr/>
        <w:t>Note that if you just want to run the PCR product on a gel, you can use the green Flexi 6X buffer, which already contains a dye for electrophoretic migration</w:t>
      </w:r>
    </w:p>
    <w:p>
      <w:pPr>
        <w:pStyle w:val="NoSpacing"/>
        <w:numPr>
          <w:ilvl w:val="0"/>
          <w:numId w:val="1"/>
        </w:numPr>
        <w:rPr/>
      </w:pPr>
      <w:r>
        <w:rPr/>
        <w:t>Add the DNA polymerase to the Mix at the end</w:t>
      </w:r>
    </w:p>
    <w:p>
      <w:pPr>
        <w:pStyle w:val="NoSpacing"/>
        <w:numPr>
          <w:ilvl w:val="1"/>
          <w:numId w:val="1"/>
        </w:numPr>
        <w:rPr/>
      </w:pPr>
      <w:r>
        <w:rPr/>
        <w:t>Make sure to keep it on the blue cold rack (which remains in the freezer)</w:t>
      </w:r>
    </w:p>
    <w:p>
      <w:pPr>
        <w:pStyle w:val="NoSpacing"/>
        <w:numPr>
          <w:ilvl w:val="0"/>
          <w:numId w:val="1"/>
        </w:numPr>
        <w:rPr/>
      </w:pPr>
      <w:r>
        <w:rPr/>
        <w:t>Put 24ul of PCR Mix in every PCR tube</w:t>
      </w:r>
    </w:p>
    <w:p>
      <w:pPr>
        <w:pStyle w:val="NoSpacing"/>
        <w:numPr>
          <w:ilvl w:val="0"/>
          <w:numId w:val="1"/>
        </w:numPr>
        <w:rPr/>
      </w:pPr>
      <w:r>
        <w:rPr/>
        <w:t>Add 1ul of suspended cells in every tube</w:t>
      </w:r>
    </w:p>
    <w:p>
      <w:pPr>
        <w:pStyle w:val="NoSpacing"/>
        <w:numPr>
          <w:ilvl w:val="0"/>
          <w:numId w:val="1"/>
        </w:numPr>
        <w:rPr/>
      </w:pPr>
      <w:r>
        <w:rPr/>
        <w:t>Start the PCR</w:t>
      </w:r>
    </w:p>
    <w:p>
      <w:pPr>
        <w:pStyle w:val="NoSpacing"/>
        <w:jc w:val="center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</w:r>
    </w:p>
    <w:p>
      <w:pPr>
        <w:pStyle w:val="NoSpacing"/>
        <w:jc w:val="center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</w:r>
    </w:p>
    <w:p>
      <w:pPr>
        <w:pStyle w:val="NoSpacing"/>
        <w:jc w:val="center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Colony PCR Program:</w:t>
      </w:r>
    </w:p>
    <w:p>
      <w:pPr>
        <w:pStyle w:val="NoSpacing"/>
        <w:jc w:val="center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</w:r>
    </w:p>
    <w:p>
      <w:pPr>
        <w:pStyle w:val="NoSpacing"/>
        <w:numPr>
          <w:ilvl w:val="0"/>
          <w:numId w:val="1"/>
        </w:numPr>
        <w:rPr/>
      </w:pPr>
      <w:r>
        <w:rPr/>
        <w:t>Initial denaturation for 10 minutes at 95ºC; </w:t>
      </w:r>
    </w:p>
    <w:p>
      <w:pPr>
        <w:pStyle w:val="NoSpacing"/>
        <w:numPr>
          <w:ilvl w:val="0"/>
          <w:numId w:val="1"/>
        </w:numPr>
        <w:rPr/>
      </w:pPr>
      <w:r>
        <w:rPr/>
        <w:t>30 cycles of amplification :</w:t>
      </w:r>
    </w:p>
    <w:p>
      <w:pPr>
        <w:pStyle w:val="NoSpacing"/>
        <w:numPr>
          <w:ilvl w:val="1"/>
          <w:numId w:val="1"/>
        </w:numPr>
        <w:rPr/>
      </w:pPr>
      <w:r>
        <w:rPr/>
        <w:t>denaturation at 95ºC for 20 seconds</w:t>
      </w:r>
    </w:p>
    <w:p>
      <w:pPr>
        <w:pStyle w:val="NoSpacing"/>
        <w:numPr>
          <w:ilvl w:val="1"/>
          <w:numId w:val="1"/>
        </w:numPr>
        <w:rPr/>
      </w:pPr>
      <w:r>
        <w:rPr/>
        <w:t xml:space="preserve">primer annealing : 55ºC for 20 seconds, </w:t>
      </w:r>
      <w:r>
        <w:rPr>
          <w:i/>
        </w:rPr>
        <w:t>(temperature depends on the primers T</w:t>
      </w:r>
      <w:r>
        <w:rPr>
          <w:i/>
          <w:vertAlign w:val="subscript"/>
        </w:rPr>
        <w:t>m</w:t>
      </w:r>
      <w:r>
        <w:rPr>
          <w:i/>
        </w:rPr>
        <w:t>)</w:t>
      </w:r>
    </w:p>
    <w:p>
      <w:pPr>
        <w:pStyle w:val="NoSpacing"/>
        <w:numPr>
          <w:ilvl w:val="1"/>
          <w:numId w:val="1"/>
        </w:numPr>
        <w:rPr/>
      </w:pPr>
      <w:r>
        <w:rPr/>
        <w:t>extension at 72ºC for 1min/kb;</w:t>
      </w:r>
    </w:p>
    <w:p>
      <w:pPr>
        <w:pStyle w:val="NoSpacing"/>
        <w:numPr>
          <w:ilvl w:val="0"/>
          <w:numId w:val="1"/>
        </w:numPr>
        <w:rPr/>
      </w:pPr>
      <w:r>
        <w:rPr/>
        <w:t>Final extension at 72ºC for 5 minutes.</w:t>
      </w:r>
    </w:p>
    <w:p>
      <w:pPr>
        <w:pStyle w:val="NoSpacing"/>
        <w:numPr>
          <w:ilvl w:val="0"/>
          <w:numId w:val="1"/>
        </w:numPr>
        <w:rPr/>
      </w:pPr>
      <w:r>
        <w:rPr/>
        <w:t>stored a 4ºC</w:t>
      </w:r>
    </w:p>
    <w:p>
      <w:pPr>
        <w:pStyle w:val="NoSpacing"/>
        <w:rPr>
          <w:b/>
          <w:i/>
          <w:i/>
          <w:color w:val="0070C0"/>
          <w:sz w:val="60"/>
          <w:szCs w:val="60"/>
        </w:rPr>
      </w:pPr>
      <w:r>
        <w:rPr>
          <w:b/>
          <w:i/>
          <w:color w:val="0070C0"/>
          <w:sz w:val="60"/>
          <w:szCs w:val="60"/>
        </w:rPr>
      </w:r>
    </w:p>
    <w:p>
      <w:pPr>
        <w:pStyle w:val="NoSpacing"/>
        <w:jc w:val="center"/>
        <w:rPr>
          <w:b/>
          <w:i/>
          <w:i/>
          <w:color w:val="0070C0"/>
          <w:sz w:val="60"/>
          <w:szCs w:val="60"/>
        </w:rPr>
      </w:pPr>
      <w:r>
        <w:rPr>
          <w:b/>
          <w:i/>
          <w:color w:val="0070C0"/>
          <w:sz w:val="60"/>
          <w:szCs w:val="60"/>
        </w:rPr>
        <w:t>Enjoy your PCR!</w:t>
      </w:r>
    </w:p>
    <w:p>
      <w:pPr>
        <w:pStyle w:val="NoSpacing"/>
        <w:jc w:val="center"/>
        <w:rPr>
          <w:b/>
          <w:i/>
          <w:i/>
          <w:color w:val="0070C0"/>
          <w:sz w:val="60"/>
          <w:szCs w:val="60"/>
        </w:rPr>
      </w:pPr>
      <w:r>
        <w:rPr>
          <w:b/>
          <w:i/>
          <w:color w:val="0070C0"/>
          <w:sz w:val="60"/>
          <w:szCs w:val="6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a70e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d53a26"/>
    <w:rPr>
      <w:b/>
      <w:bCs/>
    </w:rPr>
  </w:style>
  <w:style w:type="character" w:styleId="Emphasis">
    <w:name w:val="Emphasis"/>
    <w:basedOn w:val="DefaultParagraphFont"/>
    <w:uiPriority w:val="20"/>
    <w:qFormat/>
    <w:rsid w:val="00d53a26"/>
    <w:rPr>
      <w:i/>
      <w:iCs/>
    </w:rPr>
  </w:style>
  <w:style w:type="character" w:styleId="apple-converted-space" w:customStyle="1">
    <w:name w:val="apple-converted-space"/>
    <w:basedOn w:val="DefaultParagraphFont"/>
    <w:qFormat/>
    <w:rsid w:val="00d53a26"/>
    <w:rPr/>
  </w:style>
  <w:style w:type="character" w:styleId="Hyperlink">
    <w:name w:val="Hyperlink"/>
    <w:basedOn w:val="DefaultParagraphFont"/>
    <w:uiPriority w:val="99"/>
    <w:semiHidden/>
    <w:unhideWhenUsed/>
    <w:rsid w:val="00983c9c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d53a26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983c9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LibreOffice/24.2.7.2$Linux_X86_64 LibreOffice_project/420$Build-2</Application>
  <AppVersion>15.0000</AppVersion>
  <Pages>2</Pages>
  <Words>439</Words>
  <Characters>1706</Characters>
  <CharactersWithSpaces>2021</CharactersWithSpaces>
  <Paragraphs>99</Paragraphs>
  <Company>University of Edinburgh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2016-02-17T14:09:00Z</dcterms:created>
  <dc:creator>ZAOUI Xavier</dc:creator>
  <dc:description/>
  <dc:language>en-US</dc:language>
  <cp:lastModifiedBy/>
  <dcterms:modified xsi:type="dcterms:W3CDTF">2025-09-16T11:40:29Z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