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7537" w:rsidRDefault="008104EC">
      <w:pPr>
        <w:pStyle w:val="Title"/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bookmarkStart w:id="0" w:name="_w5tfom51nf15" w:colFirst="0" w:colLast="0"/>
      <w:bookmarkEnd w:id="0"/>
      <w:r>
        <w:t>ROOM1</w:t>
      </w:r>
    </w:p>
    <w:p w14:paraId="00000002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 Title: Type in the title/name</w:t>
      </w:r>
    </w:p>
    <w:p w14:paraId="00000003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Locally Activatible BioLuminescence (LABL) Oscillations of Distinct Clock Measured in Young and Aged fruit flies (</w:t>
      </w:r>
      <w:r>
        <w:rPr>
          <w:rFonts w:ascii="Courier New" w:eastAsia="Courier New" w:hAnsi="Courier New" w:cs="Courier New"/>
          <w:i/>
          <w:sz w:val="21"/>
          <w:szCs w:val="21"/>
        </w:rPr>
        <w:t>Drosophila melanogaster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4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5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Date: 2022-10-03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6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Purpose (Research Hypothesis)</w:t>
      </w:r>
    </w:p>
    <w:p w14:paraId="00000008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Measure the transcriptional oscillation of distinct neuron</w:t>
      </w:r>
      <w:r>
        <w:rPr>
          <w:rFonts w:ascii="Courier New" w:eastAsia="Courier New" w:hAnsi="Courier New" w:cs="Courier New"/>
          <w:sz w:val="21"/>
          <w:szCs w:val="21"/>
        </w:rPr>
        <w:t>al and peripheral clocks in live Drosophila.</w:t>
      </w:r>
    </w:p>
    <w:p w14:paraId="00000009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&gt; To characterize the expression pattern of LABL in distinct neurons and tissues using different Gal4 drivers.</w:t>
      </w:r>
    </w:p>
    <w:p w14:paraId="0000000A" w14:textId="77777777" w:rsidR="003D7537" w:rsidRDefault="003D753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000000B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Abstract</w:t>
      </w:r>
    </w:p>
    <w:p w14:paraId="0000000D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</w:p>
    <w:p w14:paraId="0000000E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dataset contains measurements of luminescence oscillations in both young and age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i/>
          <w:sz w:val="21"/>
          <w:szCs w:val="21"/>
        </w:rPr>
        <w:t>Drosophila melanogaster</w:t>
      </w:r>
      <w:r>
        <w:rPr>
          <w:rFonts w:ascii="Courier New" w:eastAsia="Courier New" w:hAnsi="Courier New" w:cs="Courier New"/>
          <w:sz w:val="21"/>
          <w:szCs w:val="21"/>
        </w:rPr>
        <w:t xml:space="preserve">, aiming to investigate the functioning of different neuronal clocks. The data provided reflects the activity under controlled experimental conditions.The main results show that despite loss of PDF signaling, circadian oscillation </w:t>
      </w:r>
      <w:r>
        <w:rPr>
          <w:rFonts w:ascii="Courier New" w:eastAsia="Courier New" w:hAnsi="Courier New" w:cs="Courier New"/>
          <w:sz w:val="21"/>
          <w:szCs w:val="21"/>
        </w:rPr>
        <w:t>continued in peripheral clocks in non-neuronal tissues. LABL detection also facilitated observation of circadian differences dependent on anatomical location, mutation and age. Thus, confirming distinct differences between clocks.</w:t>
      </w:r>
    </w:p>
    <w:p w14:paraId="0000000F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Contributors</w:t>
      </w:r>
    </w:p>
    <w:p w14:paraId="00000011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</w:p>
    <w:p w14:paraId="00000012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Peter</w:t>
      </w:r>
      <w:r>
        <w:rPr>
          <w:rFonts w:ascii="Courier New" w:eastAsia="Courier New" w:hAnsi="Courier New" w:cs="Courier New"/>
          <w:sz w:val="21"/>
          <w:szCs w:val="21"/>
        </w:rPr>
        <w:t xml:space="preserve"> S Johnstone</w:t>
      </w:r>
    </w:p>
    <w:p w14:paraId="00000013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Maite Ogueta</w:t>
      </w:r>
    </w:p>
    <w:p w14:paraId="00000014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Olga Akay </w:t>
      </w:r>
    </w:p>
    <w:p w14:paraId="00000015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Inan Top </w:t>
      </w:r>
    </w:p>
    <w:p w14:paraId="00000016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Sheyum Syed</w:t>
      </w:r>
    </w:p>
    <w:p w14:paraId="00000017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Ralf Stanewsky</w:t>
      </w:r>
    </w:p>
    <w:p w14:paraId="00000018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Deniz Top</w:t>
      </w:r>
    </w:p>
    <w:p w14:paraId="00000019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A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Biosample</w:t>
      </w:r>
    </w:p>
    <w:p w14:paraId="0000001D" w14:textId="77777777" w:rsidR="003D7537" w:rsidRDefault="008104EC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Description of biological entity that was monitored / measured/ experimented on - 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  <w:t>Drosophila</w:t>
      </w:r>
    </w:p>
    <w:p w14:paraId="0000001E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Sample type: Brain and whole fly</w:t>
      </w:r>
    </w:p>
    <w:p w14:paraId="00000020" w14:textId="77777777" w:rsidR="003D7537" w:rsidRDefault="008104EC">
      <w:pPr>
        <w:shd w:val="clear" w:color="auto" w:fill="FFFFFF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In vivo</w:t>
      </w:r>
    </w:p>
    <w:p w14:paraId="00000021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Ex vivo</w:t>
      </w:r>
    </w:p>
    <w:p w14:paraId="00000022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Age of fly group (young): 1-3 days old</w:t>
      </w:r>
    </w:p>
    <w:p w14:paraId="00000024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Age of fly group (old): 39-41 days old</w:t>
      </w:r>
    </w:p>
    <w:p w14:paraId="00000025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7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Genetic i</w:t>
      </w:r>
      <w:r>
        <w:rPr>
          <w:rFonts w:ascii="Courier New" w:eastAsia="Courier New" w:hAnsi="Courier New" w:cs="Courier New"/>
          <w:sz w:val="21"/>
          <w:szCs w:val="21"/>
        </w:rPr>
        <w:t>nfo / Strains (what to include here):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The following fly strains were used in the study: tim-UAS-Gal4 (A3), Pdf-Gal4, DvPdf-Gal4, R18H11-Gal4, Clk4.1-Gal4,, </w:t>
      </w:r>
      <w:r>
        <w:rPr>
          <w:rFonts w:ascii="Courier New" w:eastAsia="Courier New" w:hAnsi="Courier New" w:cs="Courier New"/>
          <w:i/>
          <w:color w:val="212121"/>
          <w:sz w:val="20"/>
          <w:szCs w:val="20"/>
          <w:highlight w:val="white"/>
        </w:rPr>
        <w:t>perS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 and </w:t>
      </w:r>
      <w:r>
        <w:rPr>
          <w:rFonts w:ascii="Courier New" w:eastAsia="Courier New" w:hAnsi="Courier New" w:cs="Courier New"/>
          <w:i/>
          <w:color w:val="212121"/>
          <w:sz w:val="20"/>
          <w:szCs w:val="20"/>
          <w:highlight w:val="white"/>
        </w:rPr>
        <w:t>perL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, elav-Gal4; </w:t>
      </w:r>
      <w:r>
        <w:rPr>
          <w:rFonts w:ascii="Courier New" w:eastAsia="Courier New" w:hAnsi="Courier New" w:cs="Courier New"/>
          <w:i/>
          <w:color w:val="212121"/>
          <w:sz w:val="20"/>
          <w:szCs w:val="20"/>
          <w:highlight w:val="white"/>
        </w:rPr>
        <w:t>Pdfr5304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 (</w:t>
      </w:r>
      <w:r>
        <w:rPr>
          <w:rFonts w:ascii="Courier New" w:eastAsia="Courier New" w:hAnsi="Courier New" w:cs="Courier New"/>
          <w:i/>
          <w:color w:val="212121"/>
          <w:sz w:val="20"/>
          <w:szCs w:val="20"/>
          <w:highlight w:val="white"/>
        </w:rPr>
        <w:t>han5304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); Mai179-Gal4; Clk9M-Gal4; 3xUAS-FLP2::pest; PDF receptor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 mutant </w:t>
      </w:r>
      <w:r>
        <w:rPr>
          <w:rFonts w:ascii="Courier New" w:eastAsia="Courier New" w:hAnsi="Courier New" w:cs="Courier New"/>
          <w:i/>
          <w:color w:val="212121"/>
          <w:sz w:val="20"/>
          <w:szCs w:val="20"/>
          <w:highlight w:val="white"/>
        </w:rPr>
        <w:t>han5304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; esg-Gal4; NP3084-Gal4. </w:t>
      </w:r>
    </w:p>
    <w:p w14:paraId="00000028" w14:textId="77777777" w:rsidR="003D7537" w:rsidRDefault="008104EC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G-TRACE flies (32251); mef2-Gal4 (27390); C564-Gal4 (6982); LSP2-Gal4 (6357).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14:paraId="00000029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A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LABL was constructed into an attB cloning vector for Drosophila embryo injection. </w:t>
      </w:r>
    </w:p>
    <w:p w14:paraId="0000002B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D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Husbandry</w:t>
      </w:r>
    </w:p>
    <w:p w14:paraId="0000002E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COMENTS WHAT TO PUT</w:t>
      </w:r>
    </w:p>
    <w:p w14:paraId="0000002F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Example entry</w:t>
      </w:r>
    </w:p>
    <w:p w14:paraId="00000030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Environment/feeding Laboratory setting with controlled temperature, humidity, and light-dark cycles: 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Flies were reared on 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standard cornmeal/agar/yeast/molasses medium at room temperature (22 °C) or 18 °C in ambient laboratory light.</w:t>
      </w:r>
    </w:p>
    <w:p w14:paraId="00000031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Population density: Maintained to prevent overcrowding.</w:t>
      </w:r>
    </w:p>
    <w:p w14:paraId="00000033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4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Entrainment</w:t>
      </w:r>
    </w:p>
    <w:p w14:paraId="00000036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sz w:val="21"/>
          <w:szCs w:val="21"/>
        </w:rPr>
        <w:t>Light-Dark Cycles: 12h Light / 12h Dark to synchronize circadian rhythms before the experiment.</w:t>
      </w:r>
    </w:p>
    <w:p w14:paraId="00000037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Temperature: Consistent temperature (25 °C) maintained throughout the entertainment and experimental period.</w:t>
      </w:r>
    </w:p>
    <w:p w14:paraId="00000038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9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A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Experiment design</w:t>
      </w:r>
    </w:p>
    <w:p w14:paraId="0000003B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What is crucial for circad</w:t>
      </w:r>
      <w:r>
        <w:rPr>
          <w:rFonts w:ascii="Courier New" w:eastAsia="Courier New" w:hAnsi="Courier New" w:cs="Courier New"/>
          <w:sz w:val="21"/>
          <w:szCs w:val="21"/>
        </w:rPr>
        <w:t>ian study with flies</w:t>
      </w:r>
    </w:p>
    <w:p w14:paraId="0000003C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D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E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3ABFFCDD" w:rsidR="003D7537" w:rsidRPr="008104EC" w:rsidRDefault="008104EC" w:rsidP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Protocols</w:t>
      </w:r>
    </w:p>
    <w:p w14:paraId="00000043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451A5"/>
          <w:sz w:val="21"/>
          <w:szCs w:val="21"/>
        </w:rPr>
      </w:pPr>
    </w:p>
    <w:p w14:paraId="00000044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LABL was constructed into an attB cloning vector for Drosophila embryo injection and PhiC31-mediated genome inte</w:t>
      </w:r>
      <w:r>
        <w:rPr>
          <w:rFonts w:ascii="Courier New" w:eastAsia="Courier New" w:hAnsi="Courier New" w:cs="Courier New"/>
          <w:sz w:val="21"/>
          <w:szCs w:val="21"/>
        </w:rPr>
        <w:t xml:space="preserve">gration. Luminescence of flies was measured using the LumiCycle 32 Color. </w:t>
      </w:r>
    </w:p>
    <w:p w14:paraId="00000045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6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Actimetrics analysis software was used to normalize the exponential decay of luminescence signal over days using a polynomial curve fit, with no smoothing. Custom python code was u</w:t>
      </w:r>
      <w:r>
        <w:rPr>
          <w:rFonts w:ascii="Courier New" w:eastAsia="Courier New" w:hAnsi="Courier New" w:cs="Courier New"/>
          <w:sz w:val="21"/>
          <w:szCs w:val="21"/>
        </w:rPr>
        <w:t>sed to organize luminescence data into 30 min bins and quantify peaks.</w:t>
      </w:r>
    </w:p>
    <w:p w14:paraId="00000047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Circadian behaviour was determined by measuring the locomotor activity in the analysis of time in constant darkness using the Drosophila Activity Monitor System 5 (Trikinetics). </w:t>
      </w:r>
    </w:p>
    <w:p w14:paraId="00000049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A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Fluo</w:t>
      </w:r>
      <w:r>
        <w:rPr>
          <w:rFonts w:ascii="Courier New" w:eastAsia="Courier New" w:hAnsi="Courier New" w:cs="Courier New"/>
          <w:sz w:val="21"/>
          <w:szCs w:val="21"/>
        </w:rPr>
        <w:t>rescence microscopy and immunohistochemistry were implemented to measure loss of mCherry signal from LABL plasmid in S2 cells. Protein samples were quantified using a Lowry Assay (Bio-Rad Cat. 5000112) and transferred toPVDF membrane using standard methods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04B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C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Matlab was used to simulate N=100 sinusoidal oscillators at increments of 0.5 hr each, each with a 24-hr period for 14 days.Finally,  Bioluminescence images were acquired with a UPLSAPO 40 x by exposing the brains for 5 min with an EM gain of 400. For e</w:t>
      </w:r>
      <w:r>
        <w:rPr>
          <w:rFonts w:ascii="Courier New" w:eastAsia="Courier New" w:hAnsi="Courier New" w:cs="Courier New"/>
          <w:sz w:val="21"/>
          <w:szCs w:val="21"/>
        </w:rPr>
        <w:t>ach brain, a Z-stack of 13 slices was taken, each slice containing a bioluminescence, a fluorescence (200ms), and a bright field image. All images were processed in FIJI (Schindelin et al., 2012) and combined with bright field images in GIMP.</w:t>
      </w:r>
    </w:p>
    <w:p w14:paraId="0000004D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Measurem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ents</w:t>
      </w:r>
    </w:p>
    <w:p w14:paraId="00000050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### Measured data</w:t>
      </w:r>
    </w:p>
    <w:p w14:paraId="00000052" w14:textId="77777777" w:rsidR="003D7537" w:rsidRDefault="008104EC">
      <w:pPr>
        <w:numPr>
          <w:ilvl w:val="0"/>
          <w:numId w:val="1"/>
        </w:num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Bioluminescence</w:t>
      </w:r>
    </w:p>
    <w:p w14:paraId="00000053" w14:textId="77777777" w:rsidR="003D7537" w:rsidRDefault="008104EC">
      <w:pPr>
        <w:numPr>
          <w:ilvl w:val="0"/>
          <w:numId w:val="1"/>
        </w:num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Fluorescence signals</w:t>
      </w:r>
    </w:p>
    <w:p w14:paraId="00000054" w14:textId="77777777" w:rsidR="003D7537" w:rsidRDefault="008104EC">
      <w:pPr>
        <w:numPr>
          <w:ilvl w:val="0"/>
          <w:numId w:val="1"/>
        </w:num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Immunoblotting: Lowry Assay</w:t>
      </w:r>
    </w:p>
    <w:p w14:paraId="00000055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6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### Measurement technique</w:t>
      </w:r>
    </w:p>
    <w:p w14:paraId="00000057" w14:textId="77777777" w:rsidR="003D7537" w:rsidRDefault="008104EC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Luciferin-luciferase</w:t>
      </w:r>
    </w:p>
    <w:p w14:paraId="00000058" w14:textId="77777777" w:rsidR="003D7537" w:rsidRDefault="008104EC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Fluorescence Imaging</w:t>
      </w:r>
    </w:p>
    <w:p w14:paraId="00000059" w14:textId="77777777" w:rsidR="003D7537" w:rsidRDefault="003D7537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A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Licence</w:t>
      </w:r>
    </w:p>
    <w:p w14:paraId="0000005B" w14:textId="77777777" w:rsidR="003D7537" w:rsidRDefault="008104E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Not applicable</w:t>
      </w:r>
    </w:p>
    <w:p w14:paraId="0000005C" w14:textId="77777777" w:rsidR="003D7537" w:rsidRDefault="003D7537"/>
    <w:sectPr w:rsidR="003D7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5E4"/>
    <w:multiLevelType w:val="multilevel"/>
    <w:tmpl w:val="956E1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A0E42"/>
    <w:multiLevelType w:val="multilevel"/>
    <w:tmpl w:val="4B78C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37"/>
    <w:rsid w:val="003D7537"/>
    <w:rsid w:val="008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A33"/>
  <w15:docId w15:val="{D42FF672-866E-41F6-9421-6B5FDCF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 Deeb</dc:creator>
  <cp:lastModifiedBy>Haya Deeb</cp:lastModifiedBy>
  <cp:revision>2</cp:revision>
  <dcterms:created xsi:type="dcterms:W3CDTF">2025-01-22T12:23:00Z</dcterms:created>
  <dcterms:modified xsi:type="dcterms:W3CDTF">2025-01-22T12:23:00Z</dcterms:modified>
</cp:coreProperties>
</file>