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Curva de acumulación de especies (iNEXT)</w:t>
      </w:r>
    </w:p>
    <w:p>
      <w:pPr>
        <w:pStyle w:val="centered"/>
      </w:pPr>
      <w:r>
        <w:rPr/>
        <w:drawing>
          <wp:inline distT="0" distB="0" distL="0" distR="0">
            <wp:extent cx="59436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del análisis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En el Muestreo se registraron un total de 3015 individuos y 304 especies observadas. El valor de cobertura de muestra (SC = 0.9884) indica que el muestreo fue altamente representativo del ensamble analizado. Se detectaron 35 especies con un solo individuo (singletons) y 49 con dos individuos (doubletons), lo que representa una baja proporción de especies raras, lo que indica una buena caracterización del ensamble. El estimador asintótico de riqueza (Chao1) predice aproximadamente 316.5 especies, es decir, unas 12.5 más de las observadas, lo que sugiere que podrían existir algunas especies adicionales por detectar. El índice de Shannon aumentó de 154.9 a 163.83, y el índice de Simpson pasó de 96.42 a 99.57, lo que refleja la estructura de abundancias y equidad de la comunidad.</w:t>
      </w:r>
    </w:p>
    <w:p>
      <w:pPr>
        <w:pStyle w:val="Titre1"/>
      </w:pPr>
      <w:r>
        <w:t xml:space="preserve">Curvas de números de Hills (iNEXT)</w:t>
      </w:r>
    </w:p>
    <w:p>
      <w:pPr>
        <w:pStyle w:val="centered"/>
      </w:pPr>
      <w:r>
        <w:rPr/>
        <w:drawing>
          <wp:inline distT="0" distB="0" distL="0" distR="0">
            <wp:extent cx="594360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82550" cy="57150"/>
                    </a:xfrm>
                    <a:prstGeom prst="rect">
                      <a:avLst/>
                    </a:prstGeom>
                    <a:noFill/>
                  </pic:spPr>
                </pic:pic>
              </a:graphicData>
            </a:graphic>
          </wp:inline>
        </w:drawing>
      </w:r>
    </w:p>
    <w:p>
      <w:pPr>
        <w:pStyle w:val="Titre2"/>
      </w:pPr>
      <w:r>
        <w:t xml:space="preserve">Interpretación de los números de Hills</w:t>
      </w:r>
    </w:p>
    <w:p>
      <w:pPr>
        <w:pStyle w:val="Normal"/>
        <w:jc w:val="both"/>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rPr>
        <w:t xml:space="preserve">&lt;U+0001F539&gt; En el análisis de diversidad basado en números de Hills:
- Para q = 0 (riqueza de especies), se observaron 304 especies,
con una estimación asintótica de 316.5 ± 7.54.
Esto representa un 96.05% de completitud, lo que indica que El muestreo fue suficiente; las curvas alcanzan una tendencia asintótica..
- Para q = 1 (diversidad de Shannon), el número efectivo de especies fue de 154.9 
y la estimación asintótica alcanzó 163.8 ± 3.07 
(94.55% de completitud). El muestreo fue adecuado, aunque podrían registrarse algunas especies adicionales..
- Para q = 2 (diversidad de Simpson), el número efectivo de especies dominantes fue de 96.4,
con un valor esperado de 99.6 ± 3.01, 
alcanzando un 96.83% de completitud. El muestreo fue suficiente; las curvas alcanzan una tendencia asintótica..
En conjunto, las tres curvas muestran una tendencia asintótica, evidenciando que el esfuerzo de muestreo fue adecuado 
para representar la mayoría de las especies presentes en la comunidad.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98e1a0050de8a261fcc4ad0ea05ffae9a700d912.png"/>
<Relationship Id="rId8" Type="http://schemas.openxmlformats.org/officeDocument/2006/relationships/image" Target="media/c9269ff4b7b53d56edf0038806dae68144543940.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2025-11-13T13:59:29Z</dcterms:modified>
  <cp:category/>
</cp:coreProperties>
</file>