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Curva de acumulación de especies (iNEXT)</w:t>
      </w:r>
    </w:p>
    <w:p>
      <w:pPr>
        <w:pStyle w:val="centered"/>
      </w:pPr>
      <w:r>
        <w:rPr/>
        <w:drawing>
          <wp:inline distT="0" distB="0" distL="0" distR="0">
            <wp:extent cx="5943600" cy="41148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82550" cy="57150"/>
                    </a:xfrm>
                    <a:prstGeom prst="rect">
                      <a:avLst/>
                    </a:prstGeom>
                    <a:noFill/>
                  </pic:spPr>
                </pic:pic>
              </a:graphicData>
            </a:graphic>
          </wp:inline>
        </w:drawing>
      </w:r>
    </w:p>
    <w:p>
      <w:pPr>
        <w:pStyle w:val="Titre2"/>
      </w:pPr>
      <w:r>
        <w:t xml:space="preserve">Interpretación del análisis</w:t>
      </w:r>
    </w:p>
    <w:p>
      <w:pPr>
        <w:pStyle w:val="Normal"/>
        <w:jc w:val="both"/>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rPr>
        <w:t xml:space="preserve">En el Muestreo se registraron un total de 3015 individuos y 304 especies observadas. El valor de cobertura de muestra (SC = 0.9884) indica que el muestreo fue altamente representativo del ensamble analizado. Se detectaron 35 especies con un solo individuo (singletons) y 49 con dos individuos (doubletons), lo que representa una baja proporción de especies raras, lo que indica una buena caracterización del ensamble. El estimador asintótico de riqueza (Chao1) predice aproximadamente 316.5 especies, es decir, unas 12.5 más de las observadas, lo que sugiere que podrían existir algunas especies adicionales por detectar. El índice de Shannon aumentó de 154.9 a 163.83, y el índice de Simpson pasó de 96.42 a 99.57, lo que refleja la estructura de abundancias y equidad de la comunidad.</w:t>
      </w:r>
    </w:p>
    <w:p>
      <w:pPr>
        <w:pStyle w:val="Titre1"/>
      </w:pPr>
      <w:r>
        <w:t xml:space="preserve">Curvas de números de Hill (iNEXT)</w:t>
      </w:r>
    </w:p>
    <w:p>
      <w:pPr>
        <w:pStyle w:val="centered"/>
      </w:pPr>
      <w:r>
        <w:rPr/>
        <w:drawing>
          <wp:inline distT="0" distB="0" distL="0" distR="0">
            <wp:extent cx="5943600" cy="41148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82550" cy="57150"/>
                    </a:xfrm>
                    <a:prstGeom prst="rect">
                      <a:avLst/>
                    </a:prstGeom>
                    <a:noFill/>
                  </pic:spPr>
                </pic:pic>
              </a:graphicData>
            </a:graphic>
          </wp:inline>
        </w:drawing>
      </w:r>
    </w:p>
    <w:p>
      <w:pPr>
        <w:pStyle w:val="Titre2"/>
      </w:pPr>
      <w:r>
        <w:t xml:space="preserve">Interpretación de los números de Hill</w:t>
      </w:r>
    </w:p>
    <w:p>
      <w:pPr>
        <w:pStyle w:val="Normal"/>
        <w:jc w:val="both"/>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rPr>
        <w:t xml:space="preserve">🔹 En el análisis de diversidad basado en números de Hill:
- Para q = 0 (riqueza de especies), se observaron 304 especies,
con una estimación asintótica de 316.5 ± 9.32.
Esto representa un 96.05% de completitud, lo que indica que El muestreo fue suficiente; las curvas alcanzan una tendencia asintótica..
- Para q = 1 (diversidad de Shannon), el número efectivo de especies fue de 154.9 
y la estimación asintótica alcanzó 163.8 ± 3.52 
(94.55% de completitud). El muestreo fue adecuado, aunque podrían registrarse algunas especies adicionales..
- Para q = 2 (diversidad de Simpson), el número efectivo de especies dominantes fue de 96.4,
con un valor esperado de 99.6 ± 3.28, 
alcanzando un 96.83% de completitud. El muestreo fue suficiente; las curvas alcanzan una tendencia asintótica..
En conjunto, las tres curvas muestran una tendencia asintótica, evidenciando que el esfuerzo de muestreo fue adecuado 
para representar la mayoría de las especies presentes en la comunidad.</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615941e58484306f01d4797c57901de5560dea9c.png"/>
<Relationship Id="rId8" Type="http://schemas.openxmlformats.org/officeDocument/2006/relationships/image" Target="media/a08163e1c6853c68a17ed4c7ec5c94ace840bc69.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2025-11-08T21:54:56Z</dcterms:modified>
  <cp:category/>
</cp:coreProperties>
</file>