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Hills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&lt;U+0001F539&gt; En el análisis de diversidad basado en números de Hills:
- Para q = 0 (riqueza de especies), se observaron 304 especies,
con una estimación asintótica de 316.5 ± 9.51.
Esto representa un 96.05% de completitud, lo que indica que El muestreo fue suficiente; las curvas alcanzan una tendencia asintótica..
- Para q = 1 (diversidad de Shannon), el número efectivo de especies fue de 154.9 
y la estimación asintótica alcanzó 163.8 ± 2.94 
(94.55% de completitud). El muestreo fue adecuado, aunque podrían registrarse algunas especies adicionales..
- Para q = 2 (diversidad de Simpson), el número efectivo de especies dominantes fue de 96.4,
con un valor esperado de 99.6 ± 3.14,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71059c98fbfa447fc1063561b657eb979927c637.png"/>
<Relationship Id="rId8" Type="http://schemas.openxmlformats.org/officeDocument/2006/relationships/image" Target="media/40c0c3cbf842b69b010d650a018a00a592670e9d.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2025-11-13T16:02:39Z</dcterms:modified>
  <cp:category/>
</cp:coreProperties>
</file>