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rsidR="00C308D4" w:rsidRPr="00B11F1B" w:rsidRDefault="00C308D4"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BioRubeBot Sandbox Simulator</w:t>
      </w:r>
    </w:p>
    <w:p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Rev 2.5</w:t>
      </w:r>
    </w:p>
    <w:p w:rsidR="009A67CA"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7/15</w:t>
      </w:r>
      <w:r w:rsidR="009A67CA" w:rsidRPr="00B11F1B">
        <w:rPr>
          <w:rFonts w:ascii="Arial" w:hAnsi="Arial" w:cs="Arial"/>
          <w:sz w:val="24"/>
          <w:szCs w:val="24"/>
        </w:rPr>
        <w:t>/2015</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Instructor: Katia Mayfield</w:t>
      </w:r>
    </w:p>
    <w:p w:rsidR="00E97EC8" w:rsidRPr="00B11F1B" w:rsidRDefault="009A67CA"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pgSz w:w="12240" w:h="15840"/>
          <w:pgMar w:top="1440" w:right="1440" w:bottom="1440" w:left="1440" w:header="720" w:footer="720" w:gutter="0"/>
          <w:cols w:space="720" w:equalWidth="0">
            <w:col w:w="7960"/>
          </w:cols>
          <w:noEndnote/>
          <w:titlePg/>
          <w:docGrid w:linePitch="299"/>
        </w:sectPr>
      </w:pPr>
      <w:r w:rsidRPr="00B11F1B">
        <w:rPr>
          <w:rFonts w:ascii="Arial" w:hAnsi="Arial" w:cs="Arial"/>
          <w:sz w:val="24"/>
          <w:szCs w:val="24"/>
        </w:rPr>
        <w:t>Summer 2015</w:t>
      </w:r>
    </w:p>
    <w:p w:rsidR="005741BC" w:rsidRPr="00B11F1B" w:rsidRDefault="005741BC" w:rsidP="005741BC">
      <w:pPr>
        <w:pStyle w:val="Heading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May 29, 2015</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BioRubeBot Sandbox Simulator</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Senior Software Engineering Project Team – Summer 2015</w:t>
            </w:r>
          </w:p>
        </w:tc>
      </w:tr>
    </w:tbl>
    <w:p w:rsidR="00E97EC8" w:rsidRPr="00B11F1B" w:rsidRDefault="00E97EC8">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DF1C92" w:rsidRPr="00B11F1B" w:rsidTr="009A67CA">
        <w:trPr>
          <w:trHeight w:hRule="exact" w:val="432"/>
          <w:jc w:val="center"/>
        </w:trPr>
        <w:tc>
          <w:tcPr>
            <w:tcW w:w="1360" w:type="dxa"/>
            <w:vAlign w:val="center"/>
          </w:tcPr>
          <w:p w:rsidR="00DF1C92" w:rsidRPr="00B11F1B" w:rsidRDefault="00D75B10" w:rsidP="00DF1C92">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rsidR="00DF1C92" w:rsidRPr="00B11F1B" w:rsidRDefault="00DF1C92"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rsidR="00DF1C92" w:rsidRPr="00B11F1B" w:rsidRDefault="00DF1C92"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rsidR="00DF1C92" w:rsidRPr="00B11F1B" w:rsidRDefault="00D75B10"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DF1C92" w:rsidRPr="00B11F1B" w:rsidTr="009A67CA">
        <w:trPr>
          <w:trHeight w:hRule="exact" w:val="839"/>
          <w:jc w:val="center"/>
        </w:trPr>
        <w:tc>
          <w:tcPr>
            <w:tcW w:w="1360" w:type="dxa"/>
            <w:vAlign w:val="center"/>
          </w:tcPr>
          <w:p w:rsidR="00DF1C92" w:rsidRPr="00B11F1B" w:rsidRDefault="00D75B10"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1/29/2015</w:t>
            </w:r>
          </w:p>
        </w:tc>
        <w:tc>
          <w:tcPr>
            <w:tcW w:w="2685" w:type="dxa"/>
            <w:vAlign w:val="center"/>
          </w:tcPr>
          <w:p w:rsidR="00DF1C92" w:rsidRPr="00B11F1B" w:rsidRDefault="00DF1C92" w:rsidP="00DF1C92">
            <w:pPr>
              <w:widowControl w:val="0"/>
              <w:autoSpaceDE w:val="0"/>
              <w:autoSpaceDN w:val="0"/>
              <w:adjustRightInd w:val="0"/>
              <w:spacing w:after="0" w:line="248" w:lineRule="exact"/>
              <w:ind w:left="100"/>
              <w:rPr>
                <w:rFonts w:ascii="Arial" w:hAnsi="Arial" w:cs="Arial"/>
              </w:rPr>
            </w:pPr>
          </w:p>
        </w:tc>
        <w:tc>
          <w:tcPr>
            <w:tcW w:w="2790" w:type="dxa"/>
            <w:vAlign w:val="center"/>
          </w:tcPr>
          <w:p w:rsidR="00DF1C92" w:rsidRPr="00B11F1B" w:rsidRDefault="00DF1C92"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Spring 2015 Senior Project Team</w:t>
            </w:r>
          </w:p>
        </w:tc>
        <w:tc>
          <w:tcPr>
            <w:tcW w:w="2825" w:type="dxa"/>
            <w:vAlign w:val="center"/>
          </w:tcPr>
          <w:p w:rsidR="00DF1C92"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r w:rsidR="00D75B10" w:rsidRPr="00B11F1B" w:rsidTr="009A67CA">
        <w:trPr>
          <w:trHeight w:hRule="exact" w:val="848"/>
          <w:jc w:val="center"/>
        </w:trPr>
        <w:tc>
          <w:tcPr>
            <w:tcW w:w="1360" w:type="dxa"/>
            <w:vAlign w:val="center"/>
          </w:tcPr>
          <w:p w:rsidR="00D75B10" w:rsidRPr="00B11F1B" w:rsidRDefault="00D75B10"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5/29/2015</w:t>
            </w:r>
          </w:p>
        </w:tc>
        <w:tc>
          <w:tcPr>
            <w:tcW w:w="2685" w:type="dxa"/>
            <w:vAlign w:val="center"/>
          </w:tcPr>
          <w:p w:rsidR="00D75B10" w:rsidRPr="00B11F1B" w:rsidRDefault="009A67CA"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Update to reflect goals for Summer 2015</w:t>
            </w:r>
          </w:p>
        </w:tc>
        <w:tc>
          <w:tcPr>
            <w:tcW w:w="2790" w:type="dxa"/>
            <w:vAlign w:val="center"/>
          </w:tcPr>
          <w:p w:rsidR="00D75B10"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D75B10"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Rev 2.0</w:t>
            </w:r>
          </w:p>
        </w:tc>
      </w:tr>
      <w:tr w:rsidR="00C308D4" w:rsidRPr="00B11F1B" w:rsidTr="009A67CA">
        <w:trPr>
          <w:trHeight w:hRule="exact" w:val="848"/>
          <w:jc w:val="center"/>
        </w:trPr>
        <w:tc>
          <w:tcPr>
            <w:tcW w:w="1360" w:type="dxa"/>
            <w:vAlign w:val="center"/>
          </w:tcPr>
          <w:p w:rsidR="00C308D4" w:rsidRPr="00B11F1B" w:rsidRDefault="00C308D4"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7/15/2015</w:t>
            </w:r>
          </w:p>
        </w:tc>
        <w:tc>
          <w:tcPr>
            <w:tcW w:w="2685"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Final revision for Summer 2015. Added Acceptance Criteria</w:t>
            </w:r>
          </w:p>
        </w:tc>
        <w:tc>
          <w:tcPr>
            <w:tcW w:w="2790"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Rev 2.5</w:t>
            </w:r>
          </w:p>
        </w:tc>
      </w:tr>
    </w:tbl>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rsidSect="009A67CA">
          <w:pgSz w:w="12240" w:h="15840"/>
          <w:pgMar w:top="1118" w:right="1300" w:bottom="874" w:left="1120" w:header="720" w:footer="720" w:gutter="0"/>
          <w:pgNumType w:start="2"/>
          <w:cols w:space="720" w:equalWidth="0">
            <w:col w:w="98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t>T</w:t>
      </w:r>
      <w:r w:rsidR="00526C4E" w:rsidRPr="00B11F1B">
        <w:rPr>
          <w:rFonts w:ascii="Arial" w:hAnsi="Arial" w:cs="Arial"/>
          <w:b/>
          <w:bCs/>
          <w:sz w:val="28"/>
          <w:szCs w:val="28"/>
        </w:rPr>
        <w:t>able of Contents</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bookmarkStart w:id="3" w:name="_GoBack"/>
      <w:bookmarkEnd w:id="3"/>
    </w:p>
    <w:p w:rsidR="00E97EC8" w:rsidRPr="00B11F1B" w:rsidRDefault="00E97EC8">
      <w:pPr>
        <w:widowControl w:val="0"/>
        <w:autoSpaceDE w:val="0"/>
        <w:autoSpaceDN w:val="0"/>
        <w:adjustRightInd w:val="0"/>
        <w:spacing w:after="0" w:line="314" w:lineRule="exact"/>
        <w:rPr>
          <w:rFonts w:ascii="Arial" w:hAnsi="Arial" w:cs="Arial"/>
          <w:sz w:val="28"/>
          <w:szCs w:val="24"/>
        </w:rPr>
      </w:pPr>
      <w:bookmarkStart w:id="4" w:name="page7"/>
      <w:bookmarkEnd w:id="4"/>
    </w:p>
    <w:p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BioRubeBot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the BioRubeBot, as well as the stakeholders and other interested parties.</w:t>
      </w:r>
    </w:p>
    <w:p w:rsidR="00E97EC8" w:rsidRPr="00B11F1B" w:rsidRDefault="00E97EC8">
      <w:pPr>
        <w:widowControl w:val="0"/>
        <w:autoSpaceDE w:val="0"/>
        <w:autoSpaceDN w:val="0"/>
        <w:adjustRightInd w:val="0"/>
        <w:spacing w:after="0" w:line="171" w:lineRule="exact"/>
        <w:rPr>
          <w:rFonts w:ascii="Arial" w:hAnsi="Arial" w:cs="Arial"/>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rsidR="00E97EC8" w:rsidRPr="00B11F1B" w:rsidRDefault="00E97EC8">
      <w:pPr>
        <w:widowControl w:val="0"/>
        <w:autoSpaceDE w:val="0"/>
        <w:autoSpaceDN w:val="0"/>
        <w:adjustRightInd w:val="0"/>
        <w:spacing w:after="0" w:line="131" w:lineRule="exact"/>
        <w:rPr>
          <w:rFonts w:ascii="Arial" w:hAnsi="Arial" w:cs="Arial"/>
        </w:rPr>
      </w:pPr>
    </w:p>
    <w:p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r w:rsidRPr="00B11F1B">
        <w:rPr>
          <w:rFonts w:ascii="Arial" w:hAnsi="Arial" w:cs="Arial"/>
          <w:color w:val="00000A"/>
        </w:rPr>
        <w:t>BioRubeBot</w:t>
      </w:r>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rsidR="00E97EC8" w:rsidRPr="00B11F1B" w:rsidRDefault="00E97EC8">
      <w:pPr>
        <w:widowControl w:val="0"/>
        <w:autoSpaceDE w:val="0"/>
        <w:autoSpaceDN w:val="0"/>
        <w:adjustRightInd w:val="0"/>
        <w:spacing w:after="0" w:line="18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2"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5" w:name="page9"/>
      <w:bookmarkEnd w:id="5"/>
    </w:p>
    <w:p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The current model of education pertaining to intracellular interactions requires much lecture and example, but little interactivity. The goal of the BioRubeBot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 be controlled explicitly by it's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generation their own experimental environment. Once the user is satisfied with the experimental environment, they may start the simulation. Once started, object within the simulation will begin to interact as per the rules of cellular biology. At any point in time, the simulation can be</w:t>
      </w:r>
      <w:r w:rsidR="00790A61" w:rsidRPr="00B11F1B">
        <w:rPr>
          <w:rFonts w:ascii="Arial" w:hAnsi="Arial" w:cs="Arial"/>
        </w:rPr>
        <w:t xml:space="preserve"> </w:t>
      </w:r>
      <w:r w:rsidRPr="00B11F1B">
        <w:rPr>
          <w:rFonts w:ascii="Arial" w:hAnsi="Arial" w:cs="Arial"/>
        </w:rPr>
        <w:t>paused, manipulated, rewound, or fast-forwarded.</w:t>
      </w:r>
    </w:p>
    <w:p w:rsidR="00790A61" w:rsidRPr="00B11F1B" w:rsidRDefault="00790A61" w:rsidP="00790A61">
      <w:pPr>
        <w:widowControl w:val="0"/>
        <w:autoSpaceDE w:val="0"/>
        <w:autoSpaceDN w:val="0"/>
        <w:adjustRightInd w:val="0"/>
        <w:spacing w:after="0" w:line="240" w:lineRule="auto"/>
        <w:rPr>
          <w:rFonts w:ascii="Arial" w:hAnsi="Arial" w:cs="Arial"/>
          <w:b/>
          <w:bCs/>
        </w:rPr>
      </w:pPr>
    </w:p>
    <w:p w:rsidR="00E97EC8" w:rsidRPr="00B11F1B" w:rsidRDefault="00526C4E" w:rsidP="00790A61">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structure</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template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insert an object into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delete an object from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start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pause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rewind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fast-forward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display a premade cellular interaction</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10"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279" w:lineRule="exact"/>
        <w:rPr>
          <w:rFonts w:ascii="Arial" w:hAnsi="Arial" w:cs="Arial"/>
          <w:sz w:val="24"/>
          <w:szCs w:val="24"/>
        </w:rPr>
      </w:pPr>
      <w:bookmarkStart w:id="6" w:name="page11"/>
      <w:bookmarkEnd w:id="6"/>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rewind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46" w:lineRule="exact"/>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rsidR="00E06DBC" w:rsidRPr="00B11F1B" w:rsidRDefault="00E06DBC">
      <w:pPr>
        <w:widowControl w:val="0"/>
        <w:autoSpaceDE w:val="0"/>
        <w:autoSpaceDN w:val="0"/>
        <w:adjustRightInd w:val="0"/>
        <w:spacing w:after="0" w:line="240" w:lineRule="auto"/>
        <w:rPr>
          <w:rFonts w:ascii="Arial" w:hAnsi="Arial" w:cs="Arial"/>
          <w:b/>
          <w:bCs/>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rsidR="00E06DBC" w:rsidRPr="00B11F1B" w:rsidRDefault="00E06DBC" w:rsidP="00E06DBC">
      <w:pPr>
        <w:widowControl w:val="0"/>
        <w:overflowPunct w:val="0"/>
        <w:autoSpaceDE w:val="0"/>
        <w:autoSpaceDN w:val="0"/>
        <w:adjustRightInd w:val="0"/>
        <w:spacing w:after="0"/>
        <w:ind w:right="60"/>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360" w:lineRule="exact"/>
        <w:rPr>
          <w:rFonts w:ascii="Arial" w:hAnsi="Arial" w:cs="Arial"/>
        </w:rPr>
      </w:pPr>
    </w:p>
    <w:p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rsidR="00790A61" w:rsidRPr="00B11F1B" w:rsidRDefault="00790A61" w:rsidP="00790A61">
      <w:pPr>
        <w:widowControl w:val="0"/>
        <w:autoSpaceDE w:val="0"/>
        <w:autoSpaceDN w:val="0"/>
        <w:adjustRightInd w:val="0"/>
        <w:spacing w:after="0" w:line="240" w:lineRule="auto"/>
        <w:rPr>
          <w:rFonts w:ascii="Arial" w:hAnsi="Arial" w:cs="Arial"/>
          <w:b/>
          <w:bCs/>
        </w:rPr>
      </w:pPr>
      <w:bookmarkStart w:id="7" w:name="page13"/>
      <w:bookmarkEnd w:id="7"/>
    </w:p>
    <w:p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314" w:lineRule="exact"/>
        <w:rPr>
          <w:rFonts w:ascii="Arial" w:hAnsi="Arial" w:cs="Arial"/>
          <w:sz w:val="24"/>
          <w:szCs w:val="24"/>
        </w:rPr>
      </w:pPr>
      <w:bookmarkStart w:id="8" w:name="page15"/>
      <w:bookmarkEnd w:id="8"/>
    </w:p>
    <w:p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rsidTr="005A0304">
        <w:trPr>
          <w:trHeight w:val="720"/>
        </w:trPr>
        <w:tc>
          <w:tcPr>
            <w:tcW w:w="220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624CD2" w:rsidRPr="00B11F1B" w:rsidTr="005A0304">
        <w:trPr>
          <w:trHeight w:val="1320"/>
        </w:trPr>
        <w:tc>
          <w:tcPr>
            <w:tcW w:w="2200" w:type="dxa"/>
            <w:vAlign w:val="center"/>
          </w:tcPr>
          <w:p w:rsidR="00624CD2" w:rsidRPr="00B11F1B" w:rsidRDefault="00624CD2">
            <w:pPr>
              <w:widowControl w:val="0"/>
              <w:autoSpaceDE w:val="0"/>
              <w:autoSpaceDN w:val="0"/>
              <w:adjustRightInd w:val="0"/>
              <w:rPr>
                <w:rFonts w:ascii="Arial" w:hAnsi="Arial" w:cs="Arial"/>
              </w:rPr>
            </w:pPr>
            <w:r w:rsidRPr="00B11F1B">
              <w:rPr>
                <w:rFonts w:ascii="Arial" w:hAnsi="Arial" w:cs="Arial"/>
              </w:rPr>
              <w:t>Feb 26, 2015</w:t>
            </w:r>
          </w:p>
        </w:tc>
        <w:tc>
          <w:tcPr>
            <w:tcW w:w="2565" w:type="dxa"/>
            <w:vAlign w:val="center"/>
          </w:tcPr>
          <w:p w:rsidR="00624CD2" w:rsidRPr="00B11F1B" w:rsidRDefault="00624CD2" w:rsidP="00624CD2">
            <w:pPr>
              <w:widowControl w:val="0"/>
              <w:autoSpaceDE w:val="0"/>
              <w:autoSpaceDN w:val="0"/>
              <w:adjustRightInd w:val="0"/>
              <w:rPr>
                <w:rFonts w:ascii="Arial" w:hAnsi="Arial" w:cs="Arial"/>
              </w:rPr>
            </w:pPr>
            <w:r w:rsidRPr="00B11F1B">
              <w:rPr>
                <w:rFonts w:ascii="Arial" w:hAnsi="Arial" w:cs="Arial"/>
              </w:rPr>
              <w:t>8 types of proteins with rules programmed</w:t>
            </w:r>
          </w:p>
        </w:tc>
        <w:tc>
          <w:tcPr>
            <w:tcW w:w="3060" w:type="dxa"/>
            <w:vAlign w:val="center"/>
          </w:tcPr>
          <w:p w:rsidR="00624CD2" w:rsidRPr="00B11F1B" w:rsidRDefault="00624CD2">
            <w:pPr>
              <w:widowControl w:val="0"/>
              <w:autoSpaceDE w:val="0"/>
              <w:autoSpaceDN w:val="0"/>
              <w:adjustRightInd w:val="0"/>
              <w:rPr>
                <w:rFonts w:ascii="Arial" w:hAnsi="Arial" w:cs="Arial"/>
              </w:rPr>
            </w:pPr>
            <w:r w:rsidRPr="00B11F1B">
              <w:rPr>
                <w:rFonts w:ascii="Arial" w:hAnsi="Arial" w:cs="Arial"/>
              </w:rPr>
              <w:t xml:space="preserve">Images of proteins/molecules (Reference Pdb.org and google image search) </w:t>
            </w:r>
          </w:p>
        </w:tc>
        <w:tc>
          <w:tcPr>
            <w:tcW w:w="1965" w:type="dxa"/>
            <w:vAlign w:val="center"/>
          </w:tcPr>
          <w:p w:rsidR="00624CD2" w:rsidRPr="00B11F1B" w:rsidRDefault="00624CD2">
            <w:pPr>
              <w:widowControl w:val="0"/>
              <w:autoSpaceDE w:val="0"/>
              <w:autoSpaceDN w:val="0"/>
              <w:adjustRightInd w:val="0"/>
              <w:rPr>
                <w:rFonts w:ascii="Arial" w:hAnsi="Arial" w:cs="Arial"/>
              </w:rPr>
            </w:pPr>
          </w:p>
        </w:tc>
      </w:tr>
      <w:tr w:rsidR="00624CD2" w:rsidRPr="00B11F1B" w:rsidTr="005A0304">
        <w:trPr>
          <w:trHeight w:val="720"/>
        </w:trPr>
        <w:tc>
          <w:tcPr>
            <w:tcW w:w="220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April 2, 2015</w:t>
            </w:r>
          </w:p>
        </w:tc>
        <w:tc>
          <w:tcPr>
            <w:tcW w:w="25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Drag and drop menu (list) implemented</w:t>
            </w:r>
          </w:p>
        </w:tc>
        <w:tc>
          <w:tcPr>
            <w:tcW w:w="306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Start button</w:t>
            </w:r>
          </w:p>
        </w:tc>
        <w:tc>
          <w:tcPr>
            <w:tcW w:w="19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Proteins functioning in sandbox</w:t>
            </w:r>
          </w:p>
        </w:tc>
      </w:tr>
      <w:tr w:rsidR="00624CD2" w:rsidRPr="00B11F1B" w:rsidTr="005A0304">
        <w:trPr>
          <w:trHeight w:val="1212"/>
        </w:trPr>
        <w:tc>
          <w:tcPr>
            <w:tcW w:w="220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April 23, 2015</w:t>
            </w:r>
          </w:p>
        </w:tc>
        <w:tc>
          <w:tcPr>
            <w:tcW w:w="25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Phase 1 Completion</w:t>
            </w:r>
          </w:p>
        </w:tc>
        <w:tc>
          <w:tcPr>
            <w:tcW w:w="306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Environment/setting/obstacles: cell membrane and nuclear envelope (ideally an arc)</w:t>
            </w:r>
          </w:p>
        </w:tc>
        <w:tc>
          <w:tcPr>
            <w:tcW w:w="19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Two more proteins</w:t>
            </w:r>
          </w:p>
        </w:tc>
      </w:tr>
      <w:tr w:rsidR="003500F4" w:rsidRPr="00B11F1B" w:rsidTr="005A0304">
        <w:trPr>
          <w:trHeight w:val="1014"/>
        </w:trPr>
        <w:tc>
          <w:tcPr>
            <w:tcW w:w="2200"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May 18, 2015</w:t>
            </w:r>
          </w:p>
        </w:tc>
        <w:tc>
          <w:tcPr>
            <w:tcW w:w="2565"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Initiate Phase 2</w:t>
            </w:r>
            <w:r w:rsidR="005A0304" w:rsidRPr="00B11F1B">
              <w:rPr>
                <w:rFonts w:ascii="Arial" w:hAnsi="Arial" w:cs="Arial"/>
              </w:rPr>
              <w:t>:  Familiarize new team members with project</w:t>
            </w:r>
          </w:p>
        </w:tc>
        <w:tc>
          <w:tcPr>
            <w:tcW w:w="306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Revise Statement of Work to reflect new requirements and goals</w:t>
            </w:r>
          </w:p>
        </w:tc>
        <w:tc>
          <w:tcPr>
            <w:tcW w:w="1965" w:type="dxa"/>
            <w:vAlign w:val="center"/>
          </w:tcPr>
          <w:p w:rsidR="003500F4" w:rsidRPr="00B11F1B" w:rsidRDefault="005A0304" w:rsidP="003500F4">
            <w:pPr>
              <w:widowControl w:val="0"/>
              <w:autoSpaceDE w:val="0"/>
              <w:autoSpaceDN w:val="0"/>
              <w:adjustRightInd w:val="0"/>
              <w:rPr>
                <w:rFonts w:ascii="Arial" w:hAnsi="Arial" w:cs="Arial"/>
              </w:rPr>
            </w:pPr>
            <w:r w:rsidRPr="00B11F1B">
              <w:rPr>
                <w:rFonts w:ascii="Arial" w:hAnsi="Arial" w:cs="Arial"/>
              </w:rPr>
              <w:t>Begin Unity tutorial and coding review</w:t>
            </w:r>
          </w:p>
        </w:tc>
      </w:tr>
      <w:tr w:rsidR="003500F4" w:rsidRPr="00B11F1B" w:rsidTr="005A0304">
        <w:trPr>
          <w:trHeight w:val="720"/>
        </w:trPr>
        <w:tc>
          <w:tcPr>
            <w:tcW w:w="2200"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June 11, 2015</w:t>
            </w:r>
          </w:p>
        </w:tc>
        <w:tc>
          <w:tcPr>
            <w:tcW w:w="2565"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Establish functionality of remaining protein objects (limited functionality)</w:t>
            </w:r>
          </w:p>
        </w:tc>
        <w:tc>
          <w:tcPr>
            <w:tcW w:w="3060" w:type="dxa"/>
            <w:vAlign w:val="center"/>
          </w:tcPr>
          <w:p w:rsidR="003500F4" w:rsidRPr="00B11F1B" w:rsidRDefault="00E10AAB" w:rsidP="00E10AAB">
            <w:pPr>
              <w:widowControl w:val="0"/>
              <w:autoSpaceDE w:val="0"/>
              <w:autoSpaceDN w:val="0"/>
              <w:adjustRightInd w:val="0"/>
              <w:rPr>
                <w:rFonts w:ascii="Arial" w:hAnsi="Arial" w:cs="Arial"/>
              </w:rPr>
            </w:pPr>
            <w:r w:rsidRPr="00B11F1B">
              <w:rPr>
                <w:rFonts w:ascii="Arial" w:hAnsi="Arial" w:cs="Arial"/>
              </w:rPr>
              <w:t>Evaluation of object functionality and code modification</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3500F4" w:rsidRPr="00B11F1B" w:rsidTr="005A0304">
        <w:trPr>
          <w:trHeight w:val="720"/>
        </w:trPr>
        <w:tc>
          <w:tcPr>
            <w:tcW w:w="220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July 9, 2015</w:t>
            </w:r>
          </w:p>
        </w:tc>
        <w:tc>
          <w:tcPr>
            <w:tcW w:w="2565"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 xml:space="preserve">Improved functionality of game objects </w:t>
            </w:r>
          </w:p>
        </w:tc>
        <w:tc>
          <w:tcPr>
            <w:tcW w:w="306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Basic tutorial development</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3500F4" w:rsidRPr="00B11F1B" w:rsidTr="00E10AAB">
        <w:trPr>
          <w:trHeight w:val="1689"/>
        </w:trPr>
        <w:tc>
          <w:tcPr>
            <w:tcW w:w="220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July 23, 2015</w:t>
            </w:r>
          </w:p>
        </w:tc>
        <w:tc>
          <w:tcPr>
            <w:tcW w:w="2565" w:type="dxa"/>
            <w:vAlign w:val="center"/>
          </w:tcPr>
          <w:p w:rsidR="003500F4" w:rsidRPr="00B11F1B" w:rsidRDefault="00E10AAB" w:rsidP="00E10AAB">
            <w:pPr>
              <w:widowControl w:val="0"/>
              <w:autoSpaceDE w:val="0"/>
              <w:autoSpaceDN w:val="0"/>
              <w:adjustRightInd w:val="0"/>
              <w:rPr>
                <w:rFonts w:ascii="Arial" w:hAnsi="Arial" w:cs="Arial"/>
              </w:rPr>
            </w:pPr>
            <w:r w:rsidRPr="00B11F1B">
              <w:rPr>
                <w:rFonts w:ascii="Arial" w:hAnsi="Arial" w:cs="Arial"/>
              </w:rPr>
              <w:t>Final presentation with improved game play and interactive tutorial implementation (limited to game progression)</w:t>
            </w:r>
          </w:p>
        </w:tc>
        <w:tc>
          <w:tcPr>
            <w:tcW w:w="3060" w:type="dxa"/>
            <w:vAlign w:val="center"/>
          </w:tcPr>
          <w:p w:rsidR="003500F4" w:rsidRPr="00B11F1B" w:rsidRDefault="003500F4" w:rsidP="003500F4">
            <w:pPr>
              <w:widowControl w:val="0"/>
              <w:autoSpaceDE w:val="0"/>
              <w:autoSpaceDN w:val="0"/>
              <w:adjustRightInd w:val="0"/>
              <w:rPr>
                <w:rFonts w:ascii="Arial" w:hAnsi="Arial" w:cs="Arial"/>
              </w:rPr>
            </w:pP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rsidR="00444078" w:rsidRPr="00B11F1B" w:rsidRDefault="00444078">
      <w:pPr>
        <w:rPr>
          <w:rFonts w:ascii="Arial" w:hAnsi="Arial" w:cs="Arial"/>
          <w:sz w:val="24"/>
          <w:szCs w:val="24"/>
        </w:rPr>
      </w:pPr>
      <w:bookmarkStart w:id="9" w:name="page17"/>
      <w:bookmarkEnd w:id="9"/>
      <w:r w:rsidRPr="00B11F1B">
        <w:rPr>
          <w:rFonts w:ascii="Arial" w:hAnsi="Arial" w:cs="Arial"/>
          <w:sz w:val="24"/>
          <w:szCs w:val="24"/>
        </w:rPr>
        <w:lastRenderedPageBreak/>
        <w:br w:type="page"/>
      </w:r>
    </w:p>
    <w:p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rsidR="00E97EC8" w:rsidRPr="00B11F1B" w:rsidRDefault="00E97EC8">
      <w:pPr>
        <w:widowControl w:val="0"/>
        <w:autoSpaceDE w:val="0"/>
        <w:autoSpaceDN w:val="0"/>
        <w:adjustRightInd w:val="0"/>
        <w:spacing w:after="0" w:line="204" w:lineRule="exact"/>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BioRubeBot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undergraduate 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Rube-Goldburg style puzzle games, but it will be novel in that it will convert known examples of protein-protein interactions into game rules, much in the way educational physics games use the laws of physics to influence gameplay.</w:t>
      </w:r>
    </w:p>
    <w:p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rsidTr="001B6ACA">
        <w:trPr>
          <w:trHeight w:hRule="exact" w:val="433"/>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rsidTr="001B6ACA">
        <w:trPr>
          <w:trHeight w:hRule="exact" w:val="80"/>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rsidTr="001B6ACA">
        <w:trPr>
          <w:trHeight w:hRule="exact" w:val="560"/>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rsidTr="001B6ACA">
        <w:trPr>
          <w:trHeight w:hRule="exact" w:val="669"/>
        </w:trPr>
        <w:tc>
          <w:tcPr>
            <w:tcW w:w="4957" w:type="dxa"/>
            <w:vAlign w:val="center"/>
          </w:tcPr>
          <w:p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rsidTr="001B6ACA">
        <w:trPr>
          <w:trHeight w:hRule="exact" w:val="642"/>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wps:txbx>
                        <wps:bodyPr rot="0" vert="horz" wrap="square" lIns="91440" tIns="45720" rIns="91440" bIns="45720" anchor="t" anchorCtr="0">
                          <a:noAutofit/>
                        </wps:bodyPr>
                      </wps:wsp>
                    </wpg:wgp>
                  </a:graphicData>
                </a:graphic>
              </wp:anchor>
            </w:drawing>
          </mc:Choice>
          <mc:Fallback>
            <w:pict>
              <v:group w14:anchorId="194BC620" id="Group 17" o:spid="_x0000_s1026" style="position:absolute;left:0;text-align:left;margin-left:137.45pt;margin-top:.4pt;width:188.65pt;height:140.7pt;z-index:251674624;mso-position-horizontal:right;mso-position-horizontal-relative:margin" coordsize="23958,17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3958;height:14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_x0000_s1028" type="#_x0000_t202" style="position:absolute;left:272;top:15353;width:22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rsidR="00E97EC8" w:rsidRPr="00B11F1B" w:rsidRDefault="00E97EC8">
      <w:pPr>
        <w:widowControl w:val="0"/>
        <w:autoSpaceDE w:val="0"/>
        <w:autoSpaceDN w:val="0"/>
        <w:adjustRightInd w:val="0"/>
        <w:spacing w:after="0" w:line="202" w:lineRule="exact"/>
        <w:rPr>
          <w:rFonts w:ascii="Arial" w:hAnsi="Arial" w:cs="Arial"/>
        </w:rPr>
      </w:pPr>
    </w:p>
    <w:p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rsidR="00E97EC8" w:rsidRPr="00B11F1B" w:rsidRDefault="00E97EC8">
      <w:pPr>
        <w:widowControl w:val="0"/>
        <w:autoSpaceDE w:val="0"/>
        <w:autoSpaceDN w:val="0"/>
        <w:adjustRightInd w:val="0"/>
        <w:spacing w:after="0" w:line="261" w:lineRule="exact"/>
        <w:rPr>
          <w:rFonts w:ascii="Arial" w:hAnsi="Arial" w:cs="Arial"/>
          <w:sz w:val="24"/>
          <w:szCs w:val="24"/>
        </w:rPr>
      </w:pPr>
    </w:p>
    <w:p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DF08EC"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Allow users to arrange objects (proteins/small molecules) as desired. </w:t>
                            </w:r>
                          </w:p>
                          <w:p w:rsidR="003E57D3"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At least 10 different types of proteins/small molecules.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right="1260" w:hanging="358"/>
                              <w:jc w:val="both"/>
                              <w:rPr>
                                <w:rFonts w:cs="Calibri"/>
                              </w:rPr>
                            </w:pPr>
                            <w:r w:rsidRPr="00DF08EC">
                              <w:rPr>
                                <w:rFonts w:cs="Arial"/>
                                <w:i/>
                                <w:iCs/>
                              </w:rPr>
                              <w:t xml:space="preserve">Proteins/small molecules would have specific limitations, activations and functions. These would be provided by the content knowledge experts.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An ability to “activate” the puzzle so proteins move and interact.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pPr>
                            <w:r w:rsidRPr="00DF08EC">
                              <w:rPr>
                                <w:rFonts w:cs="Arial"/>
                                <w:i/>
                                <w:iCs/>
                              </w:rPr>
                              <w:t xml:space="preserve">A reward screen if all of the components on the screen interact. </w:t>
                            </w:r>
                          </w:p>
                          <w:p w:rsidR="003E57D3" w:rsidRPr="00DF08EC" w:rsidRDefault="003E57D3" w:rsidP="003E57D3">
                            <w:pPr>
                              <w:widowControl w:val="0"/>
                              <w:overflowPunct w:val="0"/>
                              <w:autoSpaceDE w:val="0"/>
                              <w:autoSpaceDN w:val="0"/>
                              <w:adjustRightInd w:val="0"/>
                              <w:spacing w:after="0" w:line="200" w:lineRule="exact"/>
                              <w:ind w:left="1660"/>
                              <w:jc w:val="both"/>
                            </w:pPr>
                          </w:p>
                        </w:txbxContent>
                      </wps:txbx>
                      <wps:bodyPr rot="0" vert="horz" wrap="square" lIns="0" tIns="0" rIns="0" bIns="0" anchor="ctr" anchorCtr="0">
                        <a:spAutoFit/>
                      </wps:bodyPr>
                    </wps:wsp>
                  </a:graphicData>
                </a:graphic>
              </wp:anchor>
            </w:drawing>
          </mc:Choice>
          <mc:Fallback>
            <w:pict>
              <v:shape w14:anchorId="221476F4" id="Text Box 2" o:spid="_x0000_s1029" type="#_x0000_t20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fillcolor="#95b3d7 [1940]" stroked="f">
                <v:shadow on="t" color="black" offset="0,1pt"/>
                <v:textbox style="mso-fit-shape-to-text:t" inset="0,0,0,0">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DF08EC"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Allow users to arrange objects (proteins/small molecules) as desired. </w:t>
                      </w:r>
                    </w:p>
                    <w:p w:rsidR="003E57D3"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At least 10 different types of proteins/small molecules.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right="1260" w:hanging="358"/>
                        <w:jc w:val="both"/>
                        <w:rPr>
                          <w:rFonts w:cs="Calibri"/>
                        </w:rPr>
                      </w:pPr>
                      <w:r w:rsidRPr="00DF08EC">
                        <w:rPr>
                          <w:rFonts w:cs="Arial"/>
                          <w:i/>
                          <w:iCs/>
                        </w:rPr>
                        <w:t xml:space="preserve">Proteins/small molecules would have specific limitations, activations and functions. These would be provided by the content knowledge experts.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An ability to “activate” the puzzle so proteins move and interact.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pPr>
                      <w:r w:rsidRPr="00DF08EC">
                        <w:rPr>
                          <w:rFonts w:cs="Arial"/>
                          <w:i/>
                          <w:iCs/>
                        </w:rPr>
                        <w:t xml:space="preserve">A reward screen if all of the components on the screen interact. </w:t>
                      </w:r>
                    </w:p>
                    <w:p w:rsidR="003E57D3" w:rsidRPr="00DF08EC" w:rsidRDefault="003E57D3" w:rsidP="003E57D3">
                      <w:pPr>
                        <w:widowControl w:val="0"/>
                        <w:overflowPunct w:val="0"/>
                        <w:autoSpaceDE w:val="0"/>
                        <w:autoSpaceDN w:val="0"/>
                        <w:adjustRightInd w:val="0"/>
                        <w:spacing w:after="0" w:line="200" w:lineRule="exact"/>
                        <w:ind w:left="1660"/>
                        <w:jc w:val="both"/>
                      </w:pP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rsidR="00E97EC8" w:rsidRPr="00B11F1B" w:rsidRDefault="00E97EC8">
      <w:pPr>
        <w:widowControl w:val="0"/>
        <w:autoSpaceDE w:val="0"/>
        <w:autoSpaceDN w:val="0"/>
        <w:adjustRightInd w:val="0"/>
        <w:spacing w:after="0" w:line="292"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F48AF" id="_x0000_s1030" type="#_x0000_t202"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stroked="f">
                <v:textbo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rPr>
      </w:pPr>
      <w:bookmarkStart w:id="11" w:name="page21"/>
      <w:bookmarkEnd w:id="11"/>
      <w:r w:rsidRPr="00B11F1B">
        <w:rPr>
          <w:rFonts w:ascii="Arial" w:hAnsi="Arial" w:cs="Arial"/>
          <w:b/>
          <w:bCs/>
        </w:rPr>
        <w:t>Appendix B</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9" w:lineRule="exact"/>
        <w:rPr>
          <w:rFonts w:ascii="Arial" w:hAnsi="Arial" w:cs="Arial"/>
        </w:rPr>
      </w:pPr>
    </w:p>
    <w:p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autoselfphosphorylate. That is, it will add phosphates to itself. Upon phosphorylation, it will bind to the intracellular protein. Technically Grb2 (see the diagram below), for the first stages of the program, it is OK for it to bind to the G-Protein. </w:t>
      </w:r>
    </w:p>
    <w:p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transcription regulator: </w:t>
      </w:r>
      <w:r w:rsidRPr="00B11F1B">
        <w:rPr>
          <w:rFonts w:ascii="Arial" w:hAnsi="Arial" w:cs="Arial"/>
        </w:rPr>
        <w:t>After being phosphorylated by the kinase, the transcription regulator</w:t>
      </w:r>
      <w:r w:rsidRPr="00B11F1B">
        <w:rPr>
          <w:rFonts w:ascii="Arial" w:hAnsi="Arial" w:cs="Arial"/>
          <w:b/>
          <w:bCs/>
        </w:rPr>
        <w:t xml:space="preserve"> </w:t>
      </w:r>
      <w:r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74" w:lineRule="exact"/>
        <w:rPr>
          <w:rFonts w:ascii="Arial" w:hAnsi="Arial" w:cs="Arial"/>
        </w:rPr>
      </w:pPr>
    </w:p>
    <w:p w:rsidR="004224EB" w:rsidRPr="00B11F1B" w:rsidRDefault="004224EB">
      <w:pPr>
        <w:widowControl w:val="0"/>
        <w:autoSpaceDE w:val="0"/>
        <w:autoSpaceDN w:val="0"/>
        <w:adjustRightInd w:val="0"/>
        <w:spacing w:after="0" w:line="240" w:lineRule="auto"/>
        <w:rPr>
          <w:rFonts w:ascii="Arial" w:hAnsi="Arial" w:cs="Arial"/>
        </w:rPr>
      </w:pPr>
    </w:p>
    <w:p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rsidR="00E97EC8" w:rsidRPr="00B11F1B" w:rsidRDefault="00E97EC8">
      <w:pPr>
        <w:widowControl w:val="0"/>
        <w:autoSpaceDE w:val="0"/>
        <w:autoSpaceDN w:val="0"/>
        <w:adjustRightInd w:val="0"/>
        <w:spacing w:after="0" w:line="31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4"/>
          <w:szCs w:val="24"/>
        </w:rPr>
      </w:pPr>
      <w:r w:rsidRPr="00B11F1B">
        <w:rPr>
          <w:rFonts w:ascii="Arial" w:hAnsi="Arial" w:cs="Arial"/>
          <w:b/>
          <w:bCs/>
          <w:sz w:val="32"/>
          <w:szCs w:val="32"/>
        </w:rPr>
        <w:t>Appendix C</w:t>
      </w: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r w:rsidRPr="00B11F1B">
        <w:rPr>
          <w:rFonts w:ascii="Arial" w:hAnsi="Arial" w:cs="Arial"/>
          <w:sz w:val="24"/>
          <w:szCs w:val="24"/>
        </w:rPr>
        <w:lastRenderedPageBreak/>
        <w:t>Appendix D – Acceptance Criteria</w:t>
      </w:r>
    </w:p>
    <w:p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(T-Reg)</w:t>
      </w:r>
    </w:p>
    <w:p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4A" w:rsidRDefault="0009504A" w:rsidP="00E5752A">
      <w:pPr>
        <w:spacing w:after="0" w:line="240" w:lineRule="auto"/>
      </w:pPr>
      <w:r>
        <w:separator/>
      </w:r>
    </w:p>
  </w:endnote>
  <w:endnote w:type="continuationSeparator" w:id="0">
    <w:p w:rsidR="0009504A" w:rsidRDefault="0009504A"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rsidR="004224EB" w:rsidRPr="00E06DBC" w:rsidRDefault="004224EB" w:rsidP="004224EB">
        <w:pPr>
          <w:pStyle w:val="Footer"/>
          <w:rPr>
            <w:rFonts w:ascii="Calibri" w:hAnsi="Calibri" w:cs="Arial"/>
          </w:rPr>
        </w:pPr>
        <w:r w:rsidRPr="00E06DBC">
          <w:rPr>
            <w:rFonts w:ascii="Calibri" w:hAnsi="Calibri" w:cs="Arial"/>
          </w:rPr>
          <w:t xml:space="preserve">BioRubeBot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Rev 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4A" w:rsidRDefault="0009504A" w:rsidP="00E5752A">
      <w:pPr>
        <w:spacing w:after="0" w:line="240" w:lineRule="auto"/>
      </w:pPr>
      <w:r>
        <w:separator/>
      </w:r>
    </w:p>
  </w:footnote>
  <w:footnote w:type="continuationSeparator" w:id="0">
    <w:p w:rsidR="0009504A" w:rsidRDefault="0009504A"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2A" w:rsidRPr="00E06DBC" w:rsidRDefault="00E5752A" w:rsidP="00E5752A">
    <w:pPr>
      <w:pStyle w:val="Header"/>
      <w:jc w:val="both"/>
    </w:pPr>
    <w:r w:rsidRPr="00E06DBC">
      <w:rPr>
        <w:rFonts w:cs="Arial"/>
      </w:rPr>
      <w:t>BioRubeBot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C7067C">
      <w:rPr>
        <w:rFonts w:cs="Arial"/>
        <w:noProof/>
      </w:rPr>
      <w:t>5</w:t>
    </w:r>
    <w:r w:rsidR="00DF1C92" w:rsidRPr="00E06DBC">
      <w:rPr>
        <w:rFonts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9504A"/>
    <w:rsid w:val="000968F7"/>
    <w:rsid w:val="000B31C6"/>
    <w:rsid w:val="0015514F"/>
    <w:rsid w:val="001B6ACA"/>
    <w:rsid w:val="002F2698"/>
    <w:rsid w:val="003500F4"/>
    <w:rsid w:val="003B057F"/>
    <w:rsid w:val="003E12FE"/>
    <w:rsid w:val="003E57D3"/>
    <w:rsid w:val="004224EB"/>
    <w:rsid w:val="00425560"/>
    <w:rsid w:val="00444078"/>
    <w:rsid w:val="00526C4E"/>
    <w:rsid w:val="005741BC"/>
    <w:rsid w:val="005A0304"/>
    <w:rsid w:val="00624CD2"/>
    <w:rsid w:val="00790A61"/>
    <w:rsid w:val="008258BF"/>
    <w:rsid w:val="008E385C"/>
    <w:rsid w:val="009A67CA"/>
    <w:rsid w:val="00AC0102"/>
    <w:rsid w:val="00AF285F"/>
    <w:rsid w:val="00B11F1B"/>
    <w:rsid w:val="00B6555D"/>
    <w:rsid w:val="00B91A05"/>
    <w:rsid w:val="00C308D4"/>
    <w:rsid w:val="00C7067C"/>
    <w:rsid w:val="00C97237"/>
    <w:rsid w:val="00D75B10"/>
    <w:rsid w:val="00DF08EC"/>
    <w:rsid w:val="00DF1C92"/>
    <w:rsid w:val="00E06DBC"/>
    <w:rsid w:val="00E10AAB"/>
    <w:rsid w:val="00E5752A"/>
    <w:rsid w:val="00E97EC8"/>
    <w:rsid w:val="00F6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1 Char"/>
    <w:link w:val="Heading1"/>
    <w:locked/>
    <w:rsid w:val="005741BC"/>
    <w:rPr>
      <w:rFonts w:ascii="Arial" w:hAnsi="Arial" w:cs="Arial"/>
      <w:b/>
      <w:color w:val="000000"/>
      <w:sz w:val="28"/>
      <w:szCs w:val="36"/>
    </w:rPr>
  </w:style>
  <w:style w:type="paragraph" w:customStyle="1" w:styleId="Heading1">
    <w:name w:val="Heading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DF7C-9D5B-42DB-8448-2862A46D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Microsoft account</cp:lastModifiedBy>
  <cp:revision>3</cp:revision>
  <cp:lastPrinted>2015-06-01T17:00:00Z</cp:lastPrinted>
  <dcterms:created xsi:type="dcterms:W3CDTF">2015-07-15T15:52:00Z</dcterms:created>
  <dcterms:modified xsi:type="dcterms:W3CDTF">2015-07-21T16:59:00Z</dcterms:modified>
</cp:coreProperties>
</file>