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TH SarabunPSK" w:hAnsi="TH SarabunPSK"/>
          <w:b/>
          <w:color w:val="1B365D"/>
          <w:sz w:val="48"/>
        </w:rPr>
        <w:t>มาตรฐานและ SOP ระบบก๊าซทางการแพทย์เพื่อเป้าหมายข้อผิดพลาดเป็นศูนย์</w:t>
      </w:r>
    </w:p>
    <w:p>
      <w:pPr>
        <w:spacing w:after="360"/>
        <w:jc w:val="center"/>
      </w:pPr>
      <w:r>
        <w:rPr>
          <w:rFonts w:ascii="TH SarabunPSK" w:hAnsi="TH SarabunPSK"/>
          <w:b/>
          <w:color w:val="00796B"/>
          <w:sz w:val="32"/>
        </w:rPr>
        <w:t>โรงพยาบาลนครพิงค์ (NKP Hospital) | ฝ่ายวิศวกรรมบริการและสิ่งสนับสนุนโรงพยาบาล</w:t>
      </w:r>
    </w:p>
    <w:p>
      <w:pPr>
        <w:spacing w:after="200" w:line="276" w:lineRule="auto"/>
      </w:pPr>
      <w:r>
        <w:rPr>
          <w:rFonts w:ascii="TH SarabunPSK" w:hAnsi="TH SarabunPSK"/>
        </w:rPr>
        <w:t xml:space="preserve">เอกสารฉบับนี้กำหนดขึ้นเพื่อใช้เป็นกรอบนโยบายเชิงวิศวกรรมความปลอดภัยและระเบียบปฏิบัติงานปฏิบัติการ (SOP) ในการบริหารจัดการระบบก๊าซไปป์ไลน์ทางการแพทย์ (Medical Gas Pipeline System - MGPS) โดยอ้างอิงบทเรียนความเป็นเลิศจากบริษัท อาร์เอฟเอส จำกัด (RFS - เครือโรงพยาบาลรามาธิบดี) มาตรฐานวิศวกรรมความปลอดภัย JCI, ISO 55001 (Asset Management), NFPA 99 (Health Care Facilities Code), และมาตรฐานวิศวกรรมสถานแห่งประเทศไทย (วสท. 022001-22) มีวัตถุประสงค์เพื่อประเมิน ขจัดความเสี่ยงเชิงรุก และตั้งเป้าหมายลดโอกาสเกิดเหตุการณ์ขัดข้องในการจ่ายก๊าซให้เป็น </w:t>
      </w:r>
      <w:r>
        <w:rPr>
          <w:b/>
        </w:rPr>
        <w:t>0 ครั้ง (Zero Failure Target)</w:t>
      </w:r>
    </w:p>
    <w:p>
      <w:pPr>
        <w:keepNext/>
        <w:spacing w:before="280" w:after="160"/>
      </w:pPr>
      <w:r>
        <w:rPr>
          <w:rFonts w:ascii="TH SarabunPSK" w:hAnsi="TH SarabunPSK"/>
          <w:b/>
          <w:color w:val="1B365D"/>
          <w:sz w:val="40"/>
        </w:rPr>
        <w:t>หมวดที่ 1: เกณฑ์การบริหารจัดการความเสี่ยงสินทรัพย์ (Asset Risk Assessment - ISO 55001 &amp; NFPA 99)</w:t>
      </w:r>
    </w:p>
    <w:p>
      <w:pPr>
        <w:spacing w:line="276" w:lineRule="auto"/>
      </w:pPr>
      <w:r>
        <w:rPr>
          <w:rFonts w:ascii="TH SarabunPSK" w:hAnsi="TH SarabunPSK"/>
        </w:rPr>
        <w:t>โรงพยาบาลนครพิงค์จัดประเภทความเสี่ยงและการดูแลรักษาสินทรัพย์ระบบก๊าซทางการแพทย์เชิงรุกโดยอ้างอิงระดับความวิกฤตต่อชีวิตของผู้ป่วย (Risk-based Approach):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796B"/>
          <w:sz w:val="36"/>
        </w:rPr>
        <w:t>1.1 การจำแนกประเภทความเสี่ยงตามพื้นที่ใช้งาน (Category Classification)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B365D"/>
          </w:tcPr>
          <w:p>
            <w:pPr>
              <w:spacing w:after="40" w:before="40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ระดับความเสี่ยง</w:t>
            </w:r>
          </w:p>
        </w:tc>
        <w:tc>
          <w:tcPr>
            <w:tcW w:type="dxa" w:w="2437"/>
            <w:shd w:val="clear" w:color="auto" w:fill="1B365D"/>
          </w:tcPr>
          <w:p>
            <w:pPr>
              <w:spacing w:after="40" w:before="40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นิยามความเสี่ยง (NFPA 99)</w:t>
            </w:r>
          </w:p>
        </w:tc>
        <w:tc>
          <w:tcPr>
            <w:tcW w:type="dxa" w:w="2437"/>
            <w:shd w:val="clear" w:color="auto" w:fill="1B365D"/>
          </w:tcPr>
          <w:p>
            <w:pPr>
              <w:spacing w:after="40" w:before="40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พื้นที่ที่เกี่ยวข้อง</w:t>
            </w:r>
          </w:p>
        </w:tc>
        <w:tc>
          <w:tcPr>
            <w:tcW w:type="dxa" w:w="2437"/>
            <w:shd w:val="clear" w:color="auto" w:fill="1B365D"/>
          </w:tcPr>
          <w:p>
            <w:pPr>
              <w:spacing w:after="40" w:before="40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มาตรการความปลอดภัยและระบบสำรองบังคับ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b/>
                <w:color w:val="B71C1C"/>
                <w:sz w:val="26"/>
              </w:rPr>
              <w:t>Category 1</w:t>
              <w:br/>
              <w:t>(Critical)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ความล้มเหลวส่งผลอันตรายต่อชีวิตผู้ป่วยโดยตรงและทันที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ห้องผ่าตัด (OR), ICU, CCU, ER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ระบบสำรองวิกฤต 3 ชั้น (Redundancy):</w:t>
              <w:br/>
              <w:t>1. ถังเหลวหลัก (VIE Tank)</w:t>
              <w:br/>
              <w:t>2. ราวสลับแก๊สอัตโนมัติ (Auto Manifold B16)</w:t>
              <w:br/>
              <w:t>3. ราวสลับแมนนวลประจำตึก (Manual Manifolds) และถังเคลื่อนที่ข้างเตียงผู้ป่วย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b/>
                <w:color w:val="333333"/>
                <w:sz w:val="26"/>
              </w:rPr>
              <w:t>Category 2</w:t>
              <w:br/>
              <w:t>(Medium)</w:t>
            </w:r>
          </w:p>
        </w:tc>
        <w:tc>
          <w:tcPr>
            <w:tcW w:type="dxa" w:w="2592"/>
            <w:shd w:val="clear" w:color="auto" w:fill="F5F5F5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ความล้มเหลวส่งผลกระทบต่อความปลอดภัยหรือบาดเจ็บเล็กน้อย</w:t>
            </w:r>
          </w:p>
        </w:tc>
        <w:tc>
          <w:tcPr>
            <w:tcW w:type="dxa" w:w="2160"/>
            <w:shd w:val="clear" w:color="auto" w:fill="F5F5F5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หอผู้ป่วยในทั่วไป (IPD), หอผู้ป่วยสามัญ</w:t>
            </w:r>
          </w:p>
        </w:tc>
        <w:tc>
          <w:tcPr>
            <w:tcW w:type="dxa" w:w="4320"/>
            <w:shd w:val="clear" w:color="auto" w:fill="F5F5F5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ระบบสำรอง 2 ชั้น:</w:t>
              <w:br/>
              <w:t>1. ถังเหลวหลัก</w:t>
              <w:br/>
              <w:t>2. ชุดจ่ายก๊าซสำรองแมนนวลประจำตึกหรือถังเคลื่อนที่เสริมความดัน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b/>
                <w:color w:val="333333"/>
                <w:sz w:val="26"/>
              </w:rPr>
              <w:t>Category 3</w:t>
              <w:br/>
              <w:t>(Low)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ความล้มเหลวส่งผลต่อความสะดวกสบายแต่ไม่เป็นอันตรายต่อชีวิต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แผนกผู้ป่วยนอก (OPD), แผนกทันตกรรม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 w:before="40" w:line="252" w:lineRule="auto"/>
            </w:pPr>
            <w:r>
              <w:rPr>
                <w:rFonts w:ascii="TH SarabunPSK" w:hAnsi="TH SarabunPSK"/>
                <w:sz w:val="26"/>
              </w:rPr>
              <w:t>ระบบสำรอง 1 ชั้น:</w:t>
              <w:br/>
              <w:t>ถังออกซิเจนสำรองแบบท่อสแตนบายแมนนวล</w:t>
            </w:r>
          </w:p>
        </w:tc>
      </w:tr>
    </w:tbl>
    <w:p/>
    <w:p>
      <w:pPr>
        <w:keepNext/>
        <w:spacing w:before="280" w:after="120"/>
      </w:pPr>
      <w:r>
        <w:rPr>
          <w:rFonts w:ascii="TH SarabunPSK" w:hAnsi="TH SarabunPSK"/>
          <w:b/>
          <w:color w:val="00796B"/>
          <w:sz w:val="36"/>
        </w:rPr>
        <w:t>1.2 การประเมินจุดวิกฤตควบคุมเสี่ยงสูง (Critical Control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92"/>
            <w:shd w:val="clear" w:color="auto" w:fill="E8F0FE"/>
          </w:tcPr>
          <w:p>
            <w:pPr>
              <w:spacing w:before="120" w:after="120" w:line="264" w:lineRule="auto"/>
              <w:ind w:left="144" w:right="144"/>
            </w:pPr>
            <w:r>
              <w:rPr>
                <w:rFonts w:ascii="TH SarabunPSK" w:hAnsi="TH SarabunPSK"/>
                <w:b/>
                <w:color w:val="1B365D"/>
                <w:sz w:val="28"/>
              </w:rPr>
              <w:t>📌 มาตรการความมั่นคงถังออกซิเจนเหลวหลักตามสัญญาจัดหา (TOR VIE Tank):</w:t>
              <w:br/>
            </w:r>
            <w:r>
              <w:rPr>
                <w:rFonts w:ascii="TH SarabunPSK" w:hAnsi="TH SarabunPSK"/>
                <w:color w:val="212121"/>
                <w:sz w:val="27"/>
              </w:rPr>
              <w:t>ผู้ผลิตก๊าซคู่สัญญาคู่ค้าต้องดูแลและทดสอบระบบถัง VIE ขนาด 37,000 ลิตร (ออกซิเจนเหลว มอก. 540-2555 ปริมาณสัญญารวมไม่น้อยกว่า 500,000 ลิตร) ให้เป็นไปตามเกณฑ์ควบคุมอย่างต่อเนื่อง:</w:t>
              <w:br/>
              <w:t>• วาล์วนิรภัย (Relief Valve) ตั้งค่าระบายที่ 250 PSI</w:t>
              <w:br/>
              <w:t>• แผ่นนิรภัย (Bursting Disc) ป้องกันความดันสะสมวิกฤต ตั้งค่าที่ 350 PSI</w:t>
              <w:br/>
              <w:t>• มีการติดตั้งระบบตรวจวัดทางไกล Telemonitoring System เชื่อมโยงผ่านอินเทอร์เน็ตรายงานข้อมูล Liquid Level และ Pressure ตลอด 24 ชั่วโมง ส่งแจ้งเตือนหลัก 5 สัญญาณ ได้แก่ ORDER LIQUID, TANK LOW/HIGH PRESSURE, และ LINE LOW/HIGH PRESSURE เพื่อเป็นตัวตรวจจับเหตุเบื้องต้นแบบเรียลไทม์</w:t>
            </w:r>
          </w:p>
        </w:tc>
      </w:tr>
    </w:tbl>
    <w:p/>
    <w:p>
      <w:pPr>
        <w:pStyle w:val="ListBullet"/>
        <w:spacing w:after="40" w:line="276" w:lineRule="auto"/>
      </w:pPr>
      <w:r>
        <w:rPr>
          <w:rFonts w:ascii="TH SarabunPSK" w:hAnsi="TH SarabunPSK"/>
          <w:b/>
          <w:sz w:val="32"/>
        </w:rPr>
        <w:t xml:space="preserve">ราวร่วมจ่ายและสาย Pigtail (สายหางหมู): </w:t>
      </w:r>
      <w:r>
        <w:rPr>
          <w:rFonts w:ascii="TH SarabunPSK" w:hAnsi="TH SarabunPSK"/>
          <w:sz w:val="32"/>
        </w:rPr>
        <w:t>จุดเชื่อมต่อท่อทองแดงสับเปลี่ยนถังแก๊สที่ต้องรับแรงดันสูง (&gt; 2,000 PSI) มีโอกาสเกิดการรั่วไหลสูงและมีความเสี่ยงเกิดการระเบิดหากเกิดคราบน้ำมันปนเปื้อน</w:t>
      </w:r>
    </w:p>
    <w:p>
      <w:pPr>
        <w:pStyle w:val="ListBullet"/>
        <w:spacing w:after="40" w:line="276" w:lineRule="auto"/>
      </w:pPr>
      <w:r>
        <w:rPr>
          <w:rFonts w:ascii="TH SarabunPSK" w:hAnsi="TH SarabunPSK"/>
          <w:b/>
          <w:sz w:val="32"/>
        </w:rPr>
        <w:t xml:space="preserve">ชุด Check Valves ควบคุมทิศทางก๊าซ: </w:t>
      </w:r>
      <w:r>
        <w:rPr>
          <w:rFonts w:ascii="TH SarabunPSK" w:hAnsi="TH SarabunPSK"/>
          <w:sz w:val="32"/>
        </w:rPr>
        <w:t>บ่าเช็ควาล์วภายในเสื่อมสภาพทำให้ก๊าซไหลย้อนกลับเวลามีการเปลี่ยนท่อสแตนบาย</w:t>
      </w:r>
    </w:p>
    <w:p>
      <w:pPr>
        <w:pStyle w:val="ListBullet"/>
        <w:spacing w:after="40" w:line="276" w:lineRule="auto"/>
      </w:pPr>
      <w:r>
        <w:rPr>
          <w:rFonts w:ascii="TH SarabunPSK" w:hAnsi="TH SarabunPSK"/>
          <w:b/>
          <w:sz w:val="32"/>
        </w:rPr>
        <w:t xml:space="preserve">อุปกรณ์ควบคุมแรงดัน (Regulators): </w:t>
      </w:r>
      <w:r>
        <w:rPr>
          <w:rFonts w:ascii="TH SarabunPSK" w:hAnsi="TH SarabunPSK"/>
          <w:sz w:val="32"/>
        </w:rPr>
        <w:t>เรกกูเรเตอร์ High/Low เสื่อมสภาพส่งผลให้แรงดันตกวิกฤต (&lt; 40 PSI) หรือแรงดันล้นในระบบท่อส่งส่งผลให้ Relief Valve ทำการระบายทิ้ง</w:t>
      </w:r>
    </w:p>
    <w:p>
      <w:r>
        <w:br w:type="page"/>
      </w:r>
    </w:p>
    <w:p>
      <w:pPr>
        <w:keepNext/>
        <w:spacing w:before="280" w:after="160"/>
      </w:pPr>
      <w:r>
        <w:rPr>
          <w:rFonts w:ascii="TH SarabunPSK" w:hAnsi="TH SarabunPSK"/>
          <w:b/>
          <w:color w:val="1B365D"/>
          <w:sz w:val="40"/>
        </w:rPr>
        <w:t>หมวดที่ 2: มาตรฐานเครื่องมือตรวจวัดและระเบียบการวิเคราะห์ก๊าซ (Standardized Testing Tools &amp; Protocols)</w:t>
      </w:r>
    </w:p>
    <w:p>
      <w:pPr>
        <w:spacing w:line="276" w:lineRule="auto"/>
      </w:pPr>
      <w:r>
        <w:rPr>
          <w:rFonts w:ascii="TH SarabunPSK" w:hAnsi="TH SarabunPSK"/>
        </w:rPr>
        <w:t>ห้ามเจ้าหน้าที่ช่างใช้วิธีวิเคราะห์ทางสายตา การคาดเดา หรือพึ่งพาเกจวัดแรงดันเพียงอย่างเดียว การเปิดระบบก๊าซหลังการบำรุงรักษาหรือการตรวจสอบประจำงวดต้องใช้เครื่องมือทดสอบมาตรฐานอย่างเคร่งครัดดังต่อไปนี้: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796B"/>
          <w:sz w:val="36"/>
        </w:rPr>
        <w:t>2.1 เครื่องมือและเกณฑ์วิเคราะห์ความบริสุทธิ์ของก๊าซ (Gas Purity Analysis)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ออกซิเจนทางการแพทย์ (O2 Purity Test): </w:t>
      </w:r>
      <w:r>
        <w:rPr>
          <w:rFonts w:ascii="TH SarabunPSK" w:hAnsi="TH SarabunPSK"/>
          <w:sz w:val="32"/>
        </w:rPr>
        <w:t>ต้องตรวจวัดด้วยเครื่องตรวจวัดความเข้มข้นแบบ Paramagnetic Analyzer หรือ Electrochemical Sensor ที่ผ่านการคาดเทียบมาตรฐาน (Calibration) ทุกปี ออกซิเจนจากระบบถังเหลวหลักต้องมีความบริสุทธิ์ไม่ต่ำกว่า 99.0% และออกซิเจนจากเครื่องผลิต (Oxygen Concentrator) ต้องไม่ต่ำกว่า 93.0% ± 3%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ก๊าซไนตรัสออกไซด์ (N2O Purity Test): </w:t>
      </w:r>
      <w:r>
        <w:rPr>
          <w:rFonts w:ascii="TH SarabunPSK" w:hAnsi="TH SarabunPSK"/>
          <w:sz w:val="32"/>
        </w:rPr>
        <w:t>ความบริสุทธิ์ต้องไม่ต่ำกว่า 99.0%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อากาศอัดทางการแพทย์ (Medical Air Quality Test): </w:t>
      </w:r>
      <w:r>
        <w:rPr>
          <w:rFonts w:ascii="TH SarabunPSK" w:hAnsi="TH SarabunPSK"/>
          <w:sz w:val="32"/>
        </w:rPr>
        <w:t>ตรวจวัดด้วยเกณฑ์คุณภาพและระบบวิเคราะห์ดังนี้:</w:t>
        <w:br/>
        <w:t>• ค่าจุดน้ำค้าง (Dew Point): ตรวจวัดด้วยเครื่อง Digital Dew Point Meter ต้องไม่เกิน -39°C ที่แรงดันใช้งานปกติ 50 PSI เพื่อป้องกันความชื้นสะสมในระบบท่อซึ่งจะก่อให้เกิดแบคทีเรียและสนิม</w:t>
        <w:br/>
        <w:t>• ปริมาณละอองน้ำมัน (Oil Vapor): ตรวจสอบด้วย Oil Detector Tube ปริมาณน้ำมันต้องไม่เกิน 0.1 mg/m³</w:t>
        <w:br/>
        <w:t>• ก๊าซคาร์บอนมอนอกไซด์ (CO): ค่า CO ต้องไม่เกิน 5 ppm</w:t>
        <w:br/>
        <w:t>• ก๊าซคาร์บอนไดออกไซด์ (CO2): ค่า CO2 ต้องไม่เกิน 500 ppm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796B"/>
          <w:sz w:val="36"/>
        </w:rPr>
        <w:t>2.2 การทดสอบความแข็งแรงและความสมบูรณ์ของแนวท่อ (Pipeline Integrity Testing)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การทดสอบการรั่วซึม (Pressure Leak Test): </w:t>
      </w:r>
      <w:r>
        <w:rPr>
          <w:rFonts w:ascii="TH SarabunPSK" w:hAnsi="TH SarabunPSK"/>
          <w:sz w:val="32"/>
        </w:rPr>
        <w:t>เมื่อมีการติดตั้ง ปรับปรุง หรือเชื่อมท่อทองแดงใหม่ ให้ใช้ก๊าซไนโตรเจนแห้ง (Dry Nitrogen) อัดทดสอบรอยรั่วที่แรงดัน 1.5 เท่าของแรงดันใช้งานจริงในระบบ (ประมาณ 75 - 80 PSI) ปิดระบบวาล์วกักแรงดันไว้และเฝ้าสังเกตการณ์เป็นเวลา 24 ชั่วโมง แรงดันในท่อจะต้องไม่มีการตกลงอย่างมีนัยสำคัญหลังจากปรับชดเชยอุณหภูมิ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การทดสอบการต่อท่อสลับก๊าซ (Cross-Connection Test): </w:t>
      </w:r>
      <w:r>
        <w:rPr>
          <w:rFonts w:ascii="TH SarabunPSK" w:hAnsi="TH SarabunPSK"/>
          <w:sz w:val="32"/>
        </w:rPr>
        <w:t>อัดก๊าซต่างชนิดด้วยระดับแรงดันที่ต่างกัน และทำการทดสอบปลั๊กเต้ารับปลายสาย (Station Outlets) ด้วยเกจวัดแรงดันเฉพาะ เพื่อป้องกันความผิดพลาดในการสลับท่อก๊าซออกสู่ผู้ป่วย</w:t>
      </w:r>
    </w:p>
    <w:p>
      <w:pPr>
        <w:keepNext/>
        <w:spacing w:before="280" w:after="160"/>
      </w:pPr>
      <w:r>
        <w:rPr>
          <w:rFonts w:ascii="TH SarabunPSK" w:hAnsi="TH SarabunPSK"/>
          <w:b/>
          <w:color w:val="1B365D"/>
          <w:sz w:val="40"/>
        </w:rPr>
        <w:t>หมวดที่ 3: มาตรฐานการบำรุงรักษาเชิงป้องกันและพยากรณ์เชิงรุก (Preventive &amp; Predictive Maintenance)</w:t>
      </w:r>
    </w:p>
    <w:p>
      <w:pPr>
        <w:spacing w:line="276" w:lineRule="auto"/>
      </w:pPr>
      <w:r>
        <w:rPr>
          <w:rFonts w:ascii="TH SarabunPSK" w:hAnsi="TH SarabunPSK"/>
        </w:rPr>
        <w:t>ปรับปรุงกระบวนการบำรุงรักษาไปสู่ระเบียบป้องกันเชิงรุกอย่างเป็นระบบเพื่อเป้าหมายเหตุขัดข้องเป็นศูนย์: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796B"/>
          <w:sz w:val="36"/>
        </w:rPr>
        <w:t>3.1 ตารางการบำรุงรักษาเชิงป้องกัน (Preventive Maintenance - PM)</w:t>
      </w:r>
    </w:p>
    <w:p>
      <w:pPr>
        <w:spacing w:after="80" w:line="276" w:lineRule="auto"/>
        <w:ind w:left="360"/>
      </w:pPr>
      <w:r>
        <w:rPr>
          <w:rFonts w:ascii="TH SarabunPSK" w:hAnsi="TH SarabunPSK"/>
          <w:b/>
          <w:sz w:val="32"/>
        </w:rPr>
        <w:t>• การตรวจสอบรายวัน (Daily Check SOP):</w:t>
        <w:br/>
      </w:r>
      <w:r>
        <w:rPr>
          <w:rFonts w:ascii="TH SarabunPSK" w:hAnsi="TH SarabunPSK"/>
          <w:sz w:val="32"/>
        </w:rPr>
        <w:t>ตรวจวัดระดับเกจแรงดันหน้าบอร์ดควบคุม ระบบ Switching และถังเหลวหลัก และบังคับใช้เครื่อง Ultrasonic Leak Detector ในการสแกนตรวจจับคลื่นเสียงความถี่สูงรอบข้อต่อถังแก๊สสแตนบาย สาย Pigtail และวาล์วลดแรงดัน เพื่อตรวจพบจุดรั่วซึมขนาดเล็กที่สุดก่อนที่ระบบจะสูญเสียแรงดัน</w:t>
      </w:r>
    </w:p>
    <w:p>
      <w:pPr>
        <w:spacing w:after="80" w:line="276" w:lineRule="auto"/>
        <w:ind w:left="360"/>
      </w:pPr>
      <w:r>
        <w:rPr>
          <w:rFonts w:ascii="TH SarabunPSK" w:hAnsi="TH SarabunPSK"/>
          <w:b/>
          <w:sz w:val="32"/>
        </w:rPr>
        <w:t>• การบำรุงรักษาประจำเดือน (Monthly PM):</w:t>
        <w:br/>
      </w:r>
      <w:r>
        <w:rPr>
          <w:rFonts w:ascii="TH SarabunPSK" w:hAnsi="TH SarabunPSK"/>
          <w:sz w:val="32"/>
        </w:rPr>
        <w:t>ทดสอบระบบสัญญาณเตือน Master Alarm และ Area Alarm ทุกจุด และทดสอบการทำงานของบอร์ดสลับก๊าซอัตโนมัติ (Auto Manifold B16)</w:t>
      </w:r>
    </w:p>
    <w:p>
      <w:pPr>
        <w:spacing w:after="80" w:line="276" w:lineRule="auto"/>
        <w:ind w:left="360"/>
      </w:pPr>
      <w:r>
        <w:rPr>
          <w:rFonts w:ascii="TH SarabunPSK" w:hAnsi="TH SarabunPSK"/>
          <w:b/>
          <w:sz w:val="32"/>
        </w:rPr>
        <w:t>• การบำรุงรักษาประจำปี (Annual PM):</w:t>
        <w:br/>
      </w:r>
      <w:r>
        <w:rPr>
          <w:rFonts w:ascii="TH SarabunPSK" w:hAnsi="TH SarabunPSK"/>
          <w:sz w:val="32"/>
        </w:rPr>
        <w:t>ดำเนินการสอบเทียบเกจวัดและเซ็นเซอร์รับส่งแรงดัน เปลี่ยนชุดซ่อมบำรุงเปลี่ยนโอริง (O-rings) ปะเก็น และบ่าเช็ควาล์วควบคุมแรงดันย้อนกลับทั้งหมด และเปลี่ยนสาย Pigtail (สายหางหมู) ใหม่ทุกๆ 3 ปี ทันทีโดยไม่ต้องรอให้ชำรุดเสียหาย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796B"/>
          <w:sz w:val="36"/>
        </w:rPr>
        <w:t>3.2 การบำรุงรักษาเชิงพยากรณ์อัจฉริยะ (Predictive Maintenance - PdM)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การติดตั้งเซ็นเซอร์ตรวจวัดออนไลน์ (IoT Digital Sensors): </w:t>
      </w:r>
      <w:r>
        <w:rPr>
          <w:rFonts w:ascii="TH SarabunPSK" w:hAnsi="TH SarabunPSK"/>
          <w:sz w:val="32"/>
        </w:rPr>
        <w:t>ติดตั้ง Digital Pressure Transmitters ที่สเตชั่นสแตนบายสำรองทุกจุด เพื่อส่งข้อมูลแรงดันแบบเรียลไทม์เข้าสู่ Dashboard วิศวกรรมกลาง</w:t>
      </w:r>
    </w:p>
    <w:p>
      <w:pPr>
        <w:pStyle w:val="ListBullet"/>
        <w:spacing w:after="60" w:line="276" w:lineRule="auto"/>
      </w:pPr>
      <w:r>
        <w:rPr>
          <w:rFonts w:ascii="TH SarabunPSK" w:hAnsi="TH SarabunPSK"/>
          <w:b/>
          <w:sz w:val="32"/>
        </w:rPr>
        <w:t xml:space="preserve">ระบบตรวจจับและแจ้งเตือนล่วงหน้า (Pre-alarm System): </w:t>
      </w:r>
      <w:r>
        <w:rPr>
          <w:rFonts w:ascii="TH SarabunPSK" w:hAnsi="TH SarabunPSK"/>
          <w:sz w:val="32"/>
        </w:rPr>
        <w:t>ตั้งค่าระบบเตือนล่วงหน้าเข้าสู่กลุ่ม LINE ทันทีเมื่อแรงดันผันผวนเกิน ± 10% จากมาตรฐาน (เช่น ต่ำกว่า 45 PSI หรือสูงกว่า 58 PSI) ก่อนที่จะถึงเกณฑ์ Alarm วิกฤต (&lt; 40 PSI) ที่จะทำให้ Alarm หน้าวอร์ดเตือน เพื่อให้ช่างเข้าตรวจสอบและสลับเปลี่ยนท่อได้ทันท่วงที</w:t>
      </w:r>
    </w:p>
    <w:p>
      <w:r>
        <w:br w:type="page"/>
      </w:r>
    </w:p>
    <w:p>
      <w:pPr>
        <w:keepNext/>
        <w:spacing w:before="280" w:after="160"/>
      </w:pPr>
      <w:r>
        <w:rPr>
          <w:rFonts w:ascii="TH SarabunPSK" w:hAnsi="TH SarabunPSK"/>
          <w:b/>
          <w:color w:val="1B365D"/>
          <w:sz w:val="40"/>
        </w:rPr>
        <w:t>หมวดที่ 4: Standard Operating Procedures (SOP/SOT)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5F73"/>
          <w:sz w:val="36"/>
        </w:rPr>
        <w:t>SOP-01: การเปลี่ยนท่อออกซิเจนและไนตรัสออกไซด์สำรองที่ชุดร่วมจ่าย (Manifold Gas Cylinder Switchover)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1. ช่างสวมถุงมือหนังสะอาดและใช้เครื่องมือที่ปราศจากคราบน้ำมันและไขมัน (ห้ามใช้น้ำมันหล่อลื่นชโลมเกลียวท่อก๊าซออกซิเจนเด็ดขาด)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2. ปิดวาล์วถังแก๊สที่หมดฝั่งให้สนิท ดำเนินการคลายเกลียวข้อต่อสาย Pigtail ช้าๆ เพื่อระบายแก๊สค้างสาย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3. สลับถังแก๊สเก่าออกและนำถังแก๊สใหม่ (แรงดัน &gt; 2,000 PSI) เข้าแทนที่ จัดแนวให้ตรงก่อนขันเกลียวทองเหลืองสาย Pigtail ให้แน่นหนา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4. ระเบียบการเปิดวาล์วอย่างช้าๆ (Slow Valve Opening Protocol): ให้ค่อยๆ หมุนเปิดวาล์วที่หัวถังแก๊สทีละนิดอย่างช้าที่สุด ห้ามหมุนเปิดวาล่วกระชากโดยเร็วเด็ดขาด เพื่อป้องกันการเกิด 'Adiabatic Compression' (การเพิ่มขึ้นของอุณหภูมิจากแรงอัดก๊าซฉับพลันในสาย Pigtail) ซึ่งสามารถเหนี่ยวนำให้เกิดประกายไฟและการลุกไหม้วาล์วทองเหลืองอย่างรุนแรง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5. ใช้สบู่เหลวไร้กรดหรือสเปรย์ตรวจรอยรั่ว พ่นตรวจสอบบริเวณรอยต่อวาล์วและสาย Pigtail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5F73"/>
          <w:sz w:val="36"/>
        </w:rPr>
        <w:t>SOP-02: ขั้นตอนการระงับเหตุฉุกเฉินความดันก๊าซในระบบท่อส่งตก (Emergency Low-Pressure Response)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1. เมื่อสัญญาณ Alarm หน้าวอร์ดดังขึ้น ให้รีบตรวจสอบ Dashboard ออนไลน์และเข้าตรวจสอบชุดจ่ายสำรองอัตโนมัติที่อาคาร 16 ทันทีว่าสลับจ่ายเข้าระบบปกติที่ 50 - 52 PSI หรือไม่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2. กรณีที่ต้องสลับใช้ระบบสำรองแบบแมนนวล ให้เข้าสับเปิดวาล์วจ่ายก๊าซสำรองรายตึกตามลำดับความต้องการวิกฤต:</w:t>
        <w:br/>
        <w:t xml:space="preserve">   • ลำดับ 1 (Auto): อาคาร 16 (ตึกฟ้า)</w:t>
        <w:br/>
        <w:t xml:space="preserve">   • ลำดับ 2 (Manual): อาคาร 12 (ตึกชมพู - ICU/CCU ผู้ป่วยหนัก)</w:t>
        <w:br/>
        <w:t xml:space="preserve">   • ลำดับ 3 (Manual): อาคาร 1 (ตึก อบ. อุบัติเหตุ - ER/ห้องผ่าตัด) *ระบบ N2O ใช้งานปกติในระหว่างส่งซ่อม Pigtail 4 ชิ้น ช่างต้องเพิ่มความถี่ตรวจเช็คแรงดันสะสม*</w:t>
        <w:br/>
        <w:t xml:space="preserve">   • ลำดับ 4 (Manual): อาคาร 11 (ตึกเทา - หอผู้ป่วยใน 9)</w:t>
        <w:br/>
        <w:t xml:space="preserve">   • ลำดับ 5 (Manual): อาคาร 10 (ตึกส้ม)</w:t>
        <w:br/>
        <w:t xml:space="preserve">   • ลำดับ 6 (Manual): อาคาร 9 (ตึกเหลือง) *เรกกูเรเตอร์ซ้ายชำรุด ให้เปิดใช้ฝั่งขวาฝั่งเดียว*</w:t>
        <w:br/>
        <w:t xml:space="preserve">   • ลำดับ 7 (Manual): อาคาร 3 (OPD)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3. โทรประสานงาน บ.ลานนาแก๊ส สั่งเติมก๊าซและขอรับท่อสำรองฉุกเฉินขนาด 6 คิว เข้ามาเติมคลังสำรองทันที (กำหนดส่งด่วนใน 3 ชั่วโมง)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5F73"/>
          <w:sz w:val="36"/>
        </w:rPr>
        <w:t>SOP-03: การปิดระบบท่อก๊าซหลักเพื่อการซ่อมบำรุงตามแผน (Permit to Work - PTW)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1. ยื่นคำขอปิดระบบในใบอนุญาต Permit to Work (PTW) ส่งล่วงหน้าอย่างน้อย 48 ชั่วโมง พร้อมระบุขอบเขตพื้นที่และช่วงเวลาซ่อมบำรุง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2. ประสานงานและลงนามรับทราบร่วม 3 ฝ่าย (วิศวกรระบบก๊าซ - ช่างเครื่องมือแพทย์ - หัวหน้าพยาบาลประจำตึกที่ได้รับผลกระทบ)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3. ช่างเครื่องมือแพทย์นำส่งถังออกซิเจนสำรองแบบท่อสแตนบายข้างเตียงผู้ป่วย ICU/CCU ที่ได้รับผลกระทบ 100% พร้อมวาล์วปรับอัตราไหล และควบคุมการเปลี่ยนให้ผู้ป่วยใช้แก๊สจากถังข้างเตียงก่อนปิดวาล์วท่อหลัก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4. ทำการปิดวาล์ว Zone Valve แขวนป้ายเตือนสีแดง: 'ห้ามเปิดวาล์วเด็ดขาด! กำลังซ่อมบำรุงระบบก๊าซทางการแพทย์'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5. เมื่อซ่อมแซมเสร็จ ให้เป่าท่อด้วยไนโตรเจนแห้ง ทดสอบรอยรั่ว 24 ชม. ตรวจสอบการต่อสลับท่อ และวิเคราะห์ความบริสุทธิ์ O2 (ต้อง &gt;= 99%) ก่อนถอดป้ายเตือน เปิดใช้งานปกติ และลงนามปิดใบงาน PTW</w:t>
      </w:r>
    </w:p>
    <w:p>
      <w:pPr>
        <w:keepNext/>
        <w:spacing w:before="280" w:after="120"/>
      </w:pPr>
      <w:r>
        <w:rPr>
          <w:rFonts w:ascii="TH SarabunPSK" w:hAnsi="TH SarabunPSK"/>
          <w:b/>
          <w:color w:val="005F73"/>
          <w:sz w:val="36"/>
        </w:rPr>
        <w:t>SOP-04: การใช้งานระบบเฝ้าติดตามแรงดันออนไลน์และการตอบสนองต่อสัญญาณเตือนล่วงหน้า (Online Monitoring &amp; Pre-alarm Response)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1. เมื่อระบบตรวจจับแรงดันออนไลน์ส่งสัญญาณแจ้งเตือนระดับ Pre-alarm (สีเหลือง) เข้ากลุ่ม LINE ช่างเวรต้องกดปุ่ม 'Acknowledge (รับทราบงาน)' บนแอปพลิเคชันภายใน 5 นาที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2. ช่างเวรต้องเดินทางไปตรวจสอบแรงดันที่เกจวัดแมนนวลจริงที่สเตชั่น เพื่อตรวจสอบว่าข้อมูลตรงกัน และใช้เครื่อง Ultrasonic Scan ตรวจจับฟองก๊าซรั่วรอบตู้จ่ายและข้อต่อ หากพบจุดรั่วไหลหรือเกจ Regulator ชำรุดให้ประสานงานปิดปรับแต่งซ่อมบำรุงทันที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3. การยกระดับ (Escalation): หากไม่มีการกดรับทราบงานภายใน 10 นาที ระบบจะยิงสัญญาณแจ้งเตือนยกระดับไปยังหัวหน้าวิศวกรรมระบบก๊าซโดยอัตโนมัติ</w:t>
      </w:r>
    </w:p>
    <w:p>
      <w:pPr>
        <w:spacing w:after="40" w:line="276" w:lineRule="auto"/>
        <w:ind w:left="288"/>
      </w:pPr>
      <w:r>
        <w:rPr>
          <w:rFonts w:ascii="TH SarabunPSK" w:hAnsi="TH SarabunPSK"/>
        </w:rPr>
        <w:t>4. ขั้นตอนสำรองกรณีระบบออฟไลน์ (Offline Fallback Protocol): หากสัญญาณเครือข่าย WiFi หรืออินเทอร์เน็ตล่ม ให้เจ้าหน้าที่ปรับโหมดการทำงานกลับมาใช้การเดินจดบันทึกเกจวัดแมนนวล (Manual Checklist) ทุกๆ 4 ชั่วโมง ทันทีเพื่อความปลอดภัยสูงสุด</w:t>
      </w:r>
    </w:p>
    <w:p>
      <w:r>
        <w:br w:type="page"/>
      </w:r>
    </w:p>
    <w:p>
      <w:pPr>
        <w:keepNext/>
        <w:spacing w:before="280" w:after="160"/>
      </w:pPr>
      <w:r>
        <w:rPr>
          <w:rFonts w:ascii="TH SarabunPSK" w:hAnsi="TH SarabunPSK"/>
          <w:b/>
          <w:color w:val="1B365D"/>
          <w:sz w:val="40"/>
        </w:rPr>
        <w:t>หมวดที่ 5: มาตรฐานการซ้อมแผนจำลองเหตุการณ์ฉุกเฉินระดับโรงพยาบาล (Hospital-wide Simulation Drill)</w:t>
      </w:r>
    </w:p>
    <w:p>
      <w:pPr>
        <w:spacing w:after="80" w:line="276" w:lineRule="auto"/>
      </w:pPr>
      <w:r>
        <w:rPr>
          <w:b/>
        </w:rPr>
        <w:t xml:space="preserve">• ความถี่และการมีส่วนร่วม: </w:t>
      </w:r>
      <w:r>
        <w:rPr>
          <w:rFonts w:ascii="TH SarabunPSK" w:hAnsi="TH SarabunPSK"/>
        </w:rPr>
        <w:t>แผนกวิศวกรรมระบบก๊าซทางการแพทย์และฝ่ายการพยาบาล ต้องจัดฝึกซ้อมแผนสถานการณ์จำลอง 'ระบบก๊าซทางการแพทย์หลักขัดข้องขั้นวิกฤต' ร่วมกันอย่างน้อย ปีละ 1 ครั้ง</w:t>
      </w:r>
    </w:p>
    <w:p>
      <w:pPr>
        <w:spacing w:after="80" w:line="276" w:lineRule="auto"/>
      </w:pPr>
      <w:r>
        <w:rPr>
          <w:b/>
        </w:rPr>
        <w:t xml:space="preserve">• เป้าหมายของการฝึกซ้อม: </w:t>
      </w:r>
      <w:r>
        <w:rPr>
          <w:rFonts w:ascii="TH SarabunPSK" w:hAnsi="TH SarabunPSK"/>
        </w:rPr>
        <w:t>เพื่อสอบวัดทักษะและการปฏิบัติตาม SOP เมื่อ Alarm แจ้งเตือนดังขึ้น, ประเมินเวลาตอบสนอง (Response Time) ในการเปิดใช้สถานีสำรองรายตึกและการสแตนบายถังข้างเตียงผู้ป่วยวิกฤต, และทดสอบความรวดเร็วในการประสานงานขนส่งถังแก๊สเติมเสริม</w:t>
      </w:r>
    </w:p>
    <w:p>
      <w:pPr>
        <w:spacing w:after="240" w:line="276" w:lineRule="auto"/>
      </w:pPr>
      <w:r>
        <w:rPr>
          <w:b/>
        </w:rPr>
        <w:t xml:space="preserve">• การประเมินผล AAR (After Action Review): </w:t>
      </w:r>
      <w:r>
        <w:rPr>
          <w:rFonts w:ascii="TH SarabunPSK" w:hAnsi="TH SarabunPSK"/>
        </w:rPr>
        <w:t>ทุกครั้งหลังการซ้อมเสร็จสิ้น จะต้องมีการจัดประชุมร่วมระหว่างทีมแพทย์ พยาบาล และวิศวกรเพื่อทำ AAR บันทึกข้อดีและจุดแก้ไขสำหรับนำมาปรับปรุง SOP นี้ให้มีประสิทธิภาพและทันต่อสถานการณ์เสมอ</w:t>
      </w:r>
    </w:p>
    <w:p/>
    <w:p>
      <w:pPr>
        <w:spacing w:before="600" w:line="276" w:lineRule="auto"/>
        <w:jc w:val="right"/>
      </w:pPr>
      <w:r>
        <w:rPr>
          <w:b/>
        </w:rPr>
        <w:t>ลงชื่ออนุมัติใช้มาตรฐานเชิงวิศวกรรมความปลอดภัยระบบก๊าซ:</w:t>
        <w:br/>
        <w:br/>
        <w:br/>
        <w:br/>
      </w:r>
    </w:p>
    <w:p>
      <w:pPr>
        <w:spacing w:after="80" w:line="288" w:lineRule="auto"/>
        <w:jc w:val="center"/>
      </w:pPr>
      <w:r>
        <w:rPr>
          <w:rFonts w:ascii="TH SarabunPSK" w:hAnsi="TH SarabunPSK"/>
        </w:rPr>
        <w:t>ลงชื่อ: .....................................................            ลงชื่อ: .....................................................</w:t>
        <w:br/>
        <w:t xml:space="preserve">      ( ..................................................... )                  ( ..................................................... )</w:t>
        <w:br/>
        <w:t xml:space="preserve">      หัวหน้าวิศวกรระบบสิ่งสนับสนุนโรงพยาบาล                   ผู้อำนวยการฝ่ายแพทย์และประธานคณะกรรมการ FMS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