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TH SarabunPSK" w:cs="TH SarabunPSK" w:eastAsia="TH SarabunPSK" w:hAnsi="TH SarabunPSK"/>
          <w:b/>
          <w:bCs/>
          <w:color w:val="000000"/>
          <w:sz w:val="34"/>
          <w:szCs w:val="34"/>
        </w:rPr>
        <w:t xml:space="preserve">ขอบเขตของงาน (Terms of Reference: TOR)</w:t>
      </w:r>
    </w:p>
    <w:p>
      <w:pPr>
        <w:spacing w:after="80" w:before="80"/>
        <w:jc w:val="center"/>
      </w:pPr>
      <w:r>
        <w:rPr>
          <w:rFonts w:ascii="TH SarabunPSK" w:cs="TH SarabunPSK" w:eastAsia="TH SarabunPSK" w:hAnsi="TH SarabunPSK"/>
          <w:b/>
          <w:bCs/>
          <w:color w:val="000000"/>
          <w:sz w:val="28"/>
          <w:szCs w:val="28"/>
        </w:rPr>
        <w:t xml:space="preserve">โครงการจัดหาระบบเฝ้าติดตามก๊าซทางการแพทย์แบบ IoT Real-time</w:t>
      </w:r>
    </w:p>
    <w:p>
      <w:pPr>
        <w:spacing w:after="80" w:before="80"/>
        <w:jc w:val="center"/>
      </w:pPr>
      <w:r>
        <w:rPr>
          <w:rFonts w:ascii="TH SarabunPSK" w:cs="TH SarabunPSK" w:eastAsia="TH SarabunPSK" w:hAnsi="TH SarabunPSK"/>
          <w:b/>
          <w:bCs/>
          <w:color w:val="1F5C99"/>
          <w:sz w:val="26"/>
          <w:szCs w:val="26"/>
        </w:rPr>
        <w:t xml:space="preserve">(Medical Gas IoT Monitoring &amp; Dashboard System)</w:t>
      </w:r>
    </w:p>
    <w:p>
      <w:pPr>
        <w:spacing w:after="200" w:before="80"/>
        <w:jc w:val="center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4"/>
          <w:szCs w:val="24"/>
        </w:rPr>
        <w:t xml:space="preserve">อาคาร 12 ชั้น (อาคารศูนย์โรคหัวใจ)  โรงพยาบาลนครพิงค์  จังหวัดเชียงใหม่</w:t>
      </w:r>
    </w:p>
    <w:p>
      <w:pPr>
        <w:pBdr>
          <w:bottom w:val="single" w:color="1F5C99" w:sz="6" w:space="1"/>
        </w:pBdr>
        <w:spacing w:after="200" w:before="0"/>
      </w:pPr>
      <w:r>
        <w:t xml:space="preserve"/>
      </w:r>
    </w:p>
    <w:p>
      <w:pPr>
        <w:spacing w:after="120" w:before="160"/>
        <w:jc w:val="left"/>
      </w:pPr>
      <w:r>
        <w:rPr>
          <w:rFonts w:ascii="TH SarabunPSK" w:cs="TH SarabunPSK" w:eastAsia="TH SarabunPSK" w:hAnsi="TH SarabunPSK"/>
          <w:b/>
          <w:bCs/>
          <w:color w:val="1F5C99"/>
          <w:sz w:val="30"/>
          <w:szCs w:val="30"/>
        </w:rPr>
        <w:t xml:space="preserve">บทที่ 6  ระบบสัญญาณแจ้งเตือน (GAS WARNING SYSTEM)</w:t>
      </w:r>
    </w:p>
    <w:p>
      <w:pPr>
        <w:spacing w:after="60" w:before="10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1.  Warning Panel (Master Alarm)</w:t>
      </w:r>
    </w:p>
    <w:p>
      <w:pPr>
        <w:spacing w:after="80" w:before="8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6"/>
          <w:szCs w:val="26"/>
        </w:rPr>
        <w:t xml:space="preserve">ทำหน้าที่เตือนทั้งแสงและเสียงที่ความดังไม่น้อยกว่า 80 dBA ที่ 1 เมตร เมื่อการทำงานของระบบท่อจ่ายก๊าซทางการแพทย์ทั้งหมดผิดไปจากสภาวะปกติ ซึ่งประกอบด้วยอุปกรณ์หลักดังนี้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Empty Cylinders — แสดงเมื่อก๊าซหมดถังและอยู่ในระหว่างการใช้งาน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High Pressure Line — แสดงเมื่อ Line Pressure สูงกว่าที่กำหนด 20%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Low Pressure Line — แสดงเมื่อ Line Pressure ต่ำกว่าที่กำหนด 20%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Over Load — แสดงเมื่อ Pump หรือ Compressor เกิดการ Overload</w:t>
      </w:r>
    </w:p>
    <w:p>
      <w:pPr>
        <w:spacing w:after="80" w:before="6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6"/>
          <w:szCs w:val="26"/>
        </w:rPr>
        <w:t xml:space="preserve">ระบบสัญญาณเตือนนี้จะติดตั้งแสดงไว้ในห้องช่าง และ/หรือ ตามตำแหน่งในแบบทุกจุด ภายหลังการติดตั้งจะต้องทำการตรวจสอบระบบสัญญาณเตือนเพื่อให้มั่นใจได้ว่าทำงานถูกต้องตามขั้นตอน ไม่ว่าจะเป็น Function ตำแหน่งการติดตั้งที่เหมาะสม และ Set Point ต่างๆ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2.  ระบบสัญญาณเตือนเฉพาะพื้นที่ (Area Alarm)</w:t>
      </w:r>
    </w:p>
    <w:p>
      <w:pPr>
        <w:spacing w:after="80" w:before="8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6"/>
          <w:szCs w:val="26"/>
        </w:rPr>
        <w:t xml:space="preserve">เป็นระบบตรวจสอบความผิดปกติของระบบก๊าซทางการแพทย์ตามพื้นที่ ระบบนี้เป็นแบบ Closed Circuit, Self-monitoring, Microprocessor Control ประกอบด้วย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ส่วน Annunciator — ติดตั้งหม้อแปลงไฟ อุปกรณ์ส่งสัญญาณเสียง 90 dBA ปุ่มทดสอบการทำงาน ปุ่มตั้งค่าเพิ่ม-ลด ปุ่มยกเลิกสัญญาณเสียงชั่วขณะ และปุ่มสัญญาณสีเขียวแสดงเมื่อระบบสัญญาณเตือนทำงานปกติ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ส่วนแสดงผล — แสดงค่าความดันและสุญญากาศเป็นตัวเลข Digital LED ปรับความสว่างได้ตามสภาวะแวดล้อม แสดงหน่วย psig, inHg, mmHg หรือ kPa มี LED สีเขียว (ปกติ) และ LED สีแดง (ผิดปกติ) กำกับแต่ละระบบก๊าซ</w:t>
      </w:r>
    </w:p>
    <w:p>
      <w:pPr>
        <w:spacing w:after="80" w:before="8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444444"/>
          <w:sz w:val="26"/>
          <w:szCs w:val="26"/>
        </w:rPr>
        <w:t xml:space="preserve">มาตรฐานที่ใช้อ้างอิง: NFPA 99, CE Mark / EN ISO 13485, FCC Part 15 Class A, ICES 003 Class A, UL 1069</w:t>
      </w:r>
    </w:p>
    <w:p>
      <w:pPr>
        <w:pBdr>
          <w:bottom w:val="dashed" w:color="AAAAAA" w:sz="4" w:space="1"/>
        </w:pBdr>
        <w:spacing w:after="200" w:before="200"/>
      </w:pPr>
      <w:r>
        <w:t xml:space="preserve"/>
      </w:r>
    </w:p>
    <w:p>
      <w:pPr>
        <w:spacing w:after="80" w:before="120"/>
        <w:jc w:val="left"/>
      </w:pPr>
      <w:r>
        <w:rPr>
          <w:rFonts w:ascii="TH SarabunPSK" w:cs="TH SarabunPSK" w:eastAsia="TH SarabunPSK" w:hAnsi="TH SarabunPSK"/>
          <w:b/>
          <w:bCs/>
          <w:color w:val="1F5C99"/>
          <w:sz w:val="28"/>
          <w:szCs w:val="28"/>
        </w:rPr>
        <w:t xml:space="preserve">3.  ระบบเฝ้าติดตามก๊าซทางการแพทย์แบบ IoT Real-time Dashboard</w:t>
      </w:r>
    </w:p>
    <w:p>
      <w:pPr>
        <w:pBdr>
          <w:top w:val="single" w:color="1F5C99" w:sz="4" w:space="4"/>
          <w:bottom w:val="single" w:color="1F5C99" w:sz="4" w:space="4"/>
          <w:left w:val="thick" w:color="1F5C99" w:sz="12" w:space="4"/>
          <w:right w:val="single" w:color="1F5C99" w:sz="4" w:space="4"/>
        </w:pBdr>
        <w:spacing w:after="80" w:before="80"/>
        <w:ind w:left="240" w:right="240"/>
      </w:pPr>
      <w:r>
        <w:rPr>
          <w:rFonts w:ascii="TH SarabunPSK" w:cs="TH SarabunPSK" w:eastAsia="TH SarabunPSK" w:hAnsi="TH SarabunPSK"/>
          <w:i w:val="false"/>
          <w:iCs w:val="false"/>
          <w:color w:val="1A3A5C"/>
          <w:sz w:val="24"/>
          <w:szCs w:val="24"/>
        </w:rPr>
        <w:t xml:space="preserve">เหตุผลความจำเป็น: อาคาร 12 ชั้น (อาคารศูนย์โรคหัวใจ) มีระบบก๊าซทางการแพทย์ 7 ระบบ รวมถึง Surgical Air และ Carbon Dioxide ที่ใช้เฉพาะในห้องผ่าตัด Open Heart และห้องสวนหัวใจ ซึ่งมากกว่าอาคารทั่วไปที่มีเพียง 4–5 ระบบ การเฝ้าติดตามด้วยการเดินตรวจของช่างเทคนิคตามปกติไม่เพียงพอ และไม่สามารถแจ้งเตือนล่วงหน้าได้ก่อนที่ระบบจะขัดข้อง ซึ่งอาจส่งผลถึงชีวิตผู้ป่วยในห้อง ICU และห้องผ่าตัด  อ้างอิง: ผศ.บัญญัติ นิยมวาส (2568) ระบบก๊าซทางการแพทย์ หลักการออกแบบ มาตรฐาน และการประยุกต์ใช้ทางวิศวกรรม อ้างอิง ISO 7396-1 และ NFPA 99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3.1  วัตถุประสงค์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เพื่อเฝ้าติดตามสถานะและแรงดันก๊าซทุกระบบแบบ Real-time ผ่าน Dashboard รวมศูนย์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เพื่อบันทึกข้อมูลประวัติ (Historical Data Logging) สำหรับการวิเคราะห์แนวโน้มและ Predictive Maintenance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เพื่อแจ้งเตือนล่วงหน้าก่อนที่ระบบจะขัดข้อง ลดความเสี่ยงจากความเสื่อมสภาพแบบไม่ปรากฏสัญญาณ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เพื่อลดภาระงานการเดินตรวจของเจ้าหน้าที่วิศวกรรมและเพิ่มความรวดเร็วในการตอบสนองเหตุผิดปกติ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เพื่อรองรับมาตรฐาน NFPA 99 และ ISO 7396-1 ด้านการเฝ้าระวังและสัญญาณเตือนอย่างต่อเนื่อง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3.2  ขอบเขตของระบบที่ต้องการ</w:t>
      </w:r>
    </w:p>
    <w:p>
      <w:pPr>
        <w:spacing w:after="80" w:before="8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6"/>
          <w:szCs w:val="26"/>
        </w:rPr>
        <w:t xml:space="preserve">ระบบต้องครอบคลุมก๊าซและระบบสนับสนุนครบทั้ง 7 ระบบหลัก ดังนี้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400"/>
        <w:gridCol w:w="4506"/>
      </w:tblGrid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ลำดับ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ระบบก๊าซ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ขนาดท่อ (แบบ)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2"/>
                <w:szCs w:val="22"/>
              </w:rPr>
              <w:t xml:space="preserve">พื้นที่วิกฤตที่ต้องเฝ้าติดตาม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Oxygen (OXY)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1/2"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ICU ชั้น 2–9, ห้องผ่าตัด, CCU, PICU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Nitrous Oxide (N2O)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1/2"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ห้องผ่าตัด 1–5, ห้องเตรียมผ่าตัด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Medical Air (MA)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1/2"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ICU, Ventilator, ห้องผ่าตัด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Carbon Dioxide (CO2)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1/2"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ห้องสวนหัวใจ, ห้องผ่าตัด Open Heart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Evacuation/WAGD (EV)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3/4"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ห้องผ่าตัดทุกห้อง (ระบายก๊าซเหลือ)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Vacuum (VAC)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3/4"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ICU, ห้องผ่าตัด, ศัลยกรรมทุกชั้น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Surgical Air (SA)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ø 1/2"</w:t>
            </w:r>
          </w:p>
        </w:tc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2"/>
                <w:szCs w:val="22"/>
              </w:rPr>
              <w:t xml:space="preserve">ห้องผ่าตัด Open Heart (แรงดันสูง ≥ 100 PSI)</w:t>
            </w:r>
          </w:p>
        </w:tc>
      </w:tr>
    </w:tbl>
    <w:p>
      <w:pPr>
        <w:spacing w:after="60" w:before="12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6"/>
          <w:szCs w:val="26"/>
        </w:rPr>
        <w:t xml:space="preserve">นอกจากนี้ระบบต้องครอบคลุมอุปกรณ์โครงสร้างสนับสนุน ได้แก่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Medical Air Compressor (Triplex) — Health Index, อุณหภูมิ 8 จุด, แรงดัน, ชั่วโมงทำงานแต่ละ Comp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Surgical Air Compressor (Duplex) — แรงดัน, ค่าสูงสุด-ต่ำสุด-เฉลี่ย, Variance 24 ชม.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Vacuum Pump (Hexaplex) — สถานะ ON/OFF, Total Drive Runtime, Motor RPM, Estimate Current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Liquid Oxygen Tank — แรงดัน, ระดับเหลือ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Gas Manifold (O₂/N₂O/CO₂) — แรงดันฝั่งซ้าย-ขวา, สถานะสลับชุด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3.3  คุณสมบัติของระบบที่ต้องการ (Functional Requirements)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Real-time Monitoring — แสดงผลแบบ Real-time ทุกระบบก๊าซบน Dashboard ส่วนกลาง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ความถี่การรับข้อมูลไม่เกิน 60 วินาที (Last Updated ≤ 60 s)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แสดงค่า Gauge, กราฟย้อนหลัง 24 ชั่วโมง, ค่าสูงสุด-ต่ำสุด-เฉลี่ย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Historical Data Logging — บันทึกข้อมูลต่อเนื่อง เลือกดูย้อนหลังได้ตามวันที่ที่ต้องการ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รองรับการ Export ข้อมูลสำหรับการวิเคราะห์ Predictive Maintenance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Alarm &amp; Notification — แจ้งเตือนเมื่อค่าผิดปกติ (High/Low Pressure, Overload, Offline)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สนับสนุนการแจ้งเตือนผ่าน Line Notify หรือ SMS ไปยังทีมวิศวกรรม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Maintenance Tracking — แสดงสถานะการบำรุงรักษาตามชั่วโมงทำงาน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IN Filter Change, Belt Tension, Seal Change, Check V/V, Overhaul พร้อม Progress Bar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แสดง Total Drive Runtime แยกรายเครื่อง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Machine Health Index — คำนวณดัชนีสุขภาพเครื่องจากพารามิเตอร์รวม แสดงเป็น % เพื่อประเมินสภาพโดยรวม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Connectivity — รองรับการเชื่อมต่อผ่าน IoT Gateway (3G/4G) มาตรฐาน IP55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รองรับ IoT Device ไม่น้อยกว่า 7 ตัว (ครบทุกระบบก๊าซและอุปกรณ์สนับสนุน)</w:t>
      </w:r>
    </w:p>
    <w:p>
      <w:pPr>
        <w:pStyle w:val="ListParagraph"/>
        <w:numPr>
          <w:ilvl w:val="0"/>
          <w:numId w:val="3"/>
        </w:numPr>
        <w:spacing w:after="40" w:before="40"/>
        <w:ind w:left="1080" w:hanging="360"/>
      </w:pPr>
      <w:r>
        <w:rPr>
          <w:rFonts w:ascii="TH SarabunPSK" w:cs="TH SarabunPSK" w:eastAsia="TH SarabunPSK" w:hAnsi="TH SarabunPSK"/>
          <w:sz w:val="26"/>
          <w:szCs w:val="26"/>
        </w:rPr>
        <w:t xml:space="preserve">รองรับ Online Sensor ไม่น้อยกว่า 24 จุด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3.4  มาตรฐานอ้างอิง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ISO 7396-1  Medical gas pipeline systems — Part 1: Pipeline systems for compressed medical gases and vacuum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NFPA 99  Health Care Facilities Code (ฉบับที่โครงการกำหนดใช้)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EN ISO 13485  Medical devices — Quality management systems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ผศ.บัญญัติ นิยมวาส (2568) ระบบก๊าซทางการแพทย์: หลักการออกแบบ มาตรฐาน และการประยุกต์ใช้ทางวิศวกรรม สาขาวิชาวิศวกรรมเครื่องกล มหาวิทยาลัยเทคโนโลยีราชมงคลศรีวิชัย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3.5  คุณสมบัติผู้เสนอราคา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มีประสบการณ์ติดตั้งระบบ IoT Monitoring สำหรับระบบก๊าซทางการแพทย์ในโรงพยาบาลหรือองค์กรภาครัฐ ไม่น้อยกว่า 3 โครงการ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มีวิศวกรที่มีความรู้ด้านอิเล็กทรอนิกส์ ระบบ IoT และระบบก๊าซทางการแพทย์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TH SarabunPSK" w:cs="TH SarabunPSK" w:eastAsia="TH SarabunPSK" w:hAnsi="TH SarabunPSK"/>
          <w:b w:val="false"/>
          <w:bCs w:val="false"/>
          <w:sz w:val="26"/>
          <w:szCs w:val="26"/>
        </w:rPr>
        <w:t xml:space="preserve">รับประกันระบบ Software และ Hardware ไม่น้อยกว่า 2 ปี พร้อมบริการ After Sales</w:t>
      </w:r>
    </w:p>
    <w:p>
      <w:pPr>
        <w:spacing w:after="60" w:before="120"/>
        <w:jc w:val="left"/>
      </w:pPr>
      <w:r>
        <w:rPr>
          <w:rFonts w:ascii="TH SarabunPSK" w:cs="TH SarabunPSK" w:eastAsia="TH SarabunPSK" w:hAnsi="TH SarabunPSK"/>
          <w:b/>
          <w:bCs/>
          <w:color w:val="000000"/>
          <w:sz w:val="26"/>
          <w:szCs w:val="26"/>
        </w:rPr>
        <w:t xml:space="preserve">3.6  ระยะเวลาดำเนินการ</w:t>
      </w:r>
    </w:p>
    <w:p>
      <w:pPr>
        <w:spacing w:after="80" w:before="80"/>
        <w:ind w:left="360"/>
        <w:jc w:val="left"/>
      </w:pPr>
      <w:r>
        <w:rPr>
          <w:rFonts w:ascii="TH SarabunPSK" w:cs="TH SarabunPSK" w:eastAsia="TH SarabunPSK" w:hAnsi="TH SarabunPSK"/>
          <w:b w:val="false"/>
          <w:bCs w:val="false"/>
          <w:color w:val="000000"/>
          <w:sz w:val="26"/>
          <w:szCs w:val="26"/>
        </w:rPr>
        <w:t xml:space="preserve">ไม่เกิน 30 วันทำการ นับจากวันที่ได้รับอนุมัติและลงนามในสัญญาจัดซื้อจัดจ้าง</w:t>
      </w:r>
    </w:p>
    <w:p>
      <w:pPr>
        <w:pBdr>
          <w:top w:val="single" w:color="1F5C99" w:sz="4" w:space="4"/>
        </w:pBdr>
        <w:spacing w:after="80" w:before="300"/>
      </w:pPr>
      <w:r>
        <w:rPr>
          <w:rFonts w:ascii="TH SarabunPSK" w:cs="TH SarabunPSK" w:eastAsia="TH SarabunPSK" w:hAnsi="TH SarabunPSK"/>
          <w:color w:val="666666"/>
          <w:sz w:val="20"/>
          <w:szCs w:val="20"/>
        </w:rPr>
        <w:t xml:space="preserve">จัดทำโดย: งานวิศวกรรมการแพทย์  โรงพยาบาลนครพิงค์  |  อ้างอิงแบบก่อสร้างเลขที่ 10917/67  |  ปีงบประมาณ 2568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2026-06-03T11:23:06.772Z</dcterms:created>
  <dcterms:modified xsi:type="dcterms:W3CDTF">2026-06-03T11:23:06.776Z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