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E1B3D" w14:textId="77777777" w:rsidR="008D041B" w:rsidRPr="00977AB2" w:rsidRDefault="0099442C">
      <w:pPr>
        <w:rPr>
          <w:lang w:val="en-US"/>
        </w:rPr>
      </w:pPr>
      <w:r w:rsidRPr="00977AB2">
        <w:rPr>
          <w:lang w:val="en-US"/>
        </w:rPr>
        <w:t>CyFj11: FlowJo v11 Workspace Import and Legacy Format Export for R-Based Flow Cytometry Analysis</w:t>
      </w:r>
    </w:p>
    <w:p w14:paraId="5C77F190" w14:textId="77777777" w:rsidR="008D041B" w:rsidRDefault="00F065AE">
      <w:r>
        <w:rPr>
          <w:noProof/>
        </w:rPr>
        <w:pict w14:anchorId="40CFD836">
          <v:rect id="_x0000_i1042" alt="" style="width:451.3pt;height:.05pt;mso-width-percent:0;mso-height-percent:0;mso-width-percent:0;mso-height-percent:0" o:hralign="center" o:hrstd="t" o:hr="t"/>
        </w:pict>
      </w:r>
    </w:p>
    <w:p w14:paraId="007B0BA4" w14:textId="77777777" w:rsidR="008D041B" w:rsidRDefault="0099442C">
      <w:pPr>
        <w:pStyle w:val="Heading1"/>
      </w:pPr>
      <w:bookmarkStart w:id="0" w:name="title-page"/>
      <w:r>
        <w:t>Title Page</w:t>
      </w:r>
    </w:p>
    <w:p w14:paraId="0B7A3C64" w14:textId="77777777" w:rsidR="008D041B" w:rsidRPr="00977AB2" w:rsidRDefault="0099442C">
      <w:pPr>
        <w:rPr>
          <w:lang w:val="en-US"/>
        </w:rPr>
      </w:pPr>
      <w:r w:rsidRPr="00977AB2">
        <w:rPr>
          <w:b/>
          <w:bCs/>
          <w:lang w:val="en-US"/>
        </w:rPr>
        <w:t>Title:</w:t>
      </w:r>
      <w:r w:rsidRPr="00977AB2">
        <w:rPr>
          <w:lang w:val="en-US"/>
        </w:rPr>
        <w:t xml:space="preserve"> CyFj11: FlowJo v11 Workspace Import and Legacy Format Export for R-Based Flow Cytometry Analysis</w:t>
      </w:r>
    </w:p>
    <w:p w14:paraId="6B6B8971" w14:textId="77777777" w:rsidR="008D041B" w:rsidRPr="00977AB2" w:rsidRDefault="0099442C">
      <w:pPr>
        <w:rPr>
          <w:lang w:val="en-US"/>
        </w:rPr>
      </w:pPr>
      <w:r w:rsidRPr="00977AB2">
        <w:rPr>
          <w:b/>
          <w:bCs/>
          <w:lang w:val="en-US"/>
        </w:rPr>
        <w:t>Short running title:</w:t>
      </w:r>
      <w:r w:rsidRPr="00977AB2">
        <w:rPr>
          <w:lang w:val="en-US"/>
        </w:rPr>
        <w:t xml:space="preserve"> CyFj11: FlowJo v11 / R Interoperability</w:t>
      </w:r>
    </w:p>
    <w:p w14:paraId="1784937A" w14:textId="4C969225" w:rsidR="008D041B" w:rsidRPr="00086105" w:rsidRDefault="0099442C">
      <w:r w:rsidRPr="00086105">
        <w:rPr>
          <w:b/>
          <w:bCs/>
        </w:rPr>
        <w:t>Manuscript version:</w:t>
      </w:r>
      <w:r w:rsidRPr="00086105">
        <w:t xml:space="preserve"> v0.2-draft (2026-0</w:t>
      </w:r>
      <w:r w:rsidR="00977AB2" w:rsidRPr="00086105">
        <w:t>5</w:t>
      </w:r>
      <w:r w:rsidRPr="00086105">
        <w:t>-</w:t>
      </w:r>
      <w:r w:rsidR="00977AB2" w:rsidRPr="00086105">
        <w:t>22</w:t>
      </w:r>
      <w:r w:rsidRPr="00086105">
        <w:t>)</w:t>
      </w:r>
    </w:p>
    <w:p w14:paraId="541A5BE7" w14:textId="7DB513A3" w:rsidR="008D041B" w:rsidRDefault="0099442C">
      <w:r w:rsidRPr="00086105">
        <w:rPr>
          <w:b/>
          <w:bCs/>
        </w:rPr>
        <w:t>Authors:</w:t>
      </w:r>
      <w:r w:rsidRPr="00086105">
        <w:t xml:space="preserve"> </w:t>
      </w:r>
      <w:r w:rsidR="00977AB2" w:rsidRPr="00086105">
        <w:t xml:space="preserve">Bernd Jagla, </w:t>
      </w:r>
      <w:hyperlink r:id="rId7" w:history="1">
        <w:r w:rsidR="00977AB2" w:rsidRPr="00086105">
          <w:rPr>
            <w:rStyle w:val="Hyperlink"/>
          </w:rPr>
          <w:t>bernd.jagla@pasteur.fr</w:t>
        </w:r>
      </w:hyperlink>
      <w:r w:rsidR="006E6097" w:rsidRPr="00086105">
        <w:t xml:space="preserve"> (1)</w:t>
      </w:r>
    </w:p>
    <w:p w14:paraId="42A0F975" w14:textId="7AADBC33" w:rsidR="00086105" w:rsidRPr="00EA352E" w:rsidRDefault="00086105">
      <w:r w:rsidRPr="00EA352E">
        <w:t xml:space="preserve">Slobodan Culina, </w:t>
      </w:r>
      <w:hyperlink r:id="rId8" w:history="1">
        <w:r w:rsidRPr="00EA352E">
          <w:rPr>
            <w:rStyle w:val="Hyperlink"/>
          </w:rPr>
          <w:t>Slobodan.culina@pasteur.fr</w:t>
        </w:r>
      </w:hyperlink>
      <w:r w:rsidRPr="00EA352E">
        <w:t xml:space="preserve"> (2)</w:t>
      </w:r>
    </w:p>
    <w:p w14:paraId="5A8B9AD2" w14:textId="12D06380" w:rsidR="00086105" w:rsidRDefault="00086105">
      <w:r w:rsidRPr="00086105">
        <w:t xml:space="preserve">Francois </w:t>
      </w:r>
      <w:r>
        <w:t xml:space="preserve">Le Guerroue, </w:t>
      </w:r>
      <w:hyperlink r:id="rId9" w:history="1">
        <w:r w:rsidRPr="00104738">
          <w:rPr>
            <w:rStyle w:val="Hyperlink"/>
          </w:rPr>
          <w:t>francois.le-guerroue@pasteur.fr</w:t>
        </w:r>
      </w:hyperlink>
      <w:r>
        <w:t xml:space="preserve"> (2)</w:t>
      </w:r>
    </w:p>
    <w:p w14:paraId="2E3AB0F9" w14:textId="4AFC1AB6" w:rsidR="00086105" w:rsidRPr="00086105" w:rsidRDefault="00086105">
      <w:pPr>
        <w:rPr>
          <w:lang w:val="de-DE"/>
        </w:rPr>
      </w:pPr>
      <w:r w:rsidRPr="00086105">
        <w:rPr>
          <w:lang w:val="de-DE"/>
        </w:rPr>
        <w:t xml:space="preserve">Esma Karkeni, </w:t>
      </w:r>
      <w:hyperlink r:id="rId10" w:history="1">
        <w:r w:rsidRPr="00104738">
          <w:rPr>
            <w:rStyle w:val="Hyperlink"/>
            <w:lang w:val="de-DE"/>
          </w:rPr>
          <w:t>esma.karkeni@pasteur.fr</w:t>
        </w:r>
      </w:hyperlink>
      <w:r>
        <w:rPr>
          <w:lang w:val="de-DE"/>
        </w:rPr>
        <w:t xml:space="preserve"> (2)</w:t>
      </w:r>
    </w:p>
    <w:p w14:paraId="707CBBC8" w14:textId="78EDC2DB" w:rsidR="00977AB2" w:rsidRPr="00086105" w:rsidRDefault="00977AB2">
      <w:pPr>
        <w:rPr>
          <w:lang w:val="en-US"/>
        </w:rPr>
      </w:pPr>
      <w:r w:rsidRPr="00086105">
        <w:rPr>
          <w:lang w:val="en-US"/>
        </w:rPr>
        <w:t xml:space="preserve">Milena Hasan, </w:t>
      </w:r>
      <w:hyperlink r:id="rId11" w:history="1">
        <w:r w:rsidR="006E6097" w:rsidRPr="00086105">
          <w:rPr>
            <w:rStyle w:val="Hyperlink"/>
            <w:lang w:val="en-US"/>
          </w:rPr>
          <w:t>milena.hasan@pasteur.fr</w:t>
        </w:r>
      </w:hyperlink>
      <w:r w:rsidR="006E6097" w:rsidRPr="00086105">
        <w:rPr>
          <w:lang w:val="en-US"/>
        </w:rPr>
        <w:t xml:space="preserve"> (2)</w:t>
      </w:r>
    </w:p>
    <w:p w14:paraId="124489AF" w14:textId="72CB7822" w:rsidR="008D041B" w:rsidRDefault="0099442C">
      <w:pPr>
        <w:rPr>
          <w:rFonts w:ascii="Segoe UI" w:hAnsi="Segoe UI" w:cs="Segoe UI"/>
          <w:color w:val="000000"/>
          <w:sz w:val="16"/>
          <w:szCs w:val="16"/>
          <w:shd w:val="clear" w:color="auto" w:fill="FFFFFF"/>
        </w:rPr>
      </w:pPr>
      <w:r w:rsidRPr="006E6097">
        <w:rPr>
          <w:b/>
          <w:bCs/>
        </w:rPr>
        <w:t>Affiliations:</w:t>
      </w:r>
      <w:r w:rsidRPr="006E6097">
        <w:t xml:space="preserve"> </w:t>
      </w:r>
      <w:r w:rsidR="006E6097" w:rsidRPr="006E6097">
        <w:t>1</w:t>
      </w:r>
      <w:r w:rsidR="006E6097" w:rsidRPr="00086105">
        <w:t>: Institut Pasteur, scBiomarkers UTechS &amp; Bioinformatics &amp; Biostatistics Hub, 25-28 rue du Docteur Roux, 75015 Paris</w:t>
      </w:r>
    </w:p>
    <w:p w14:paraId="7A010EA8" w14:textId="2D375219" w:rsidR="006E6097" w:rsidRPr="006E6097" w:rsidRDefault="006E6097" w:rsidP="00086105">
      <w:r>
        <w:rPr>
          <w:shd w:val="clear" w:color="auto" w:fill="FFFFFF"/>
        </w:rPr>
        <w:t xml:space="preserve">2 : </w:t>
      </w:r>
      <w:r>
        <w:t xml:space="preserve">Institut Pasteur, </w:t>
      </w:r>
      <w:r w:rsidRPr="006E6097">
        <w:t xml:space="preserve">scBiomarkers UTechS, </w:t>
      </w:r>
      <w:r>
        <w:rPr>
          <w:shd w:val="clear" w:color="auto" w:fill="FFFFFF"/>
        </w:rPr>
        <w:t>25-28 rue du Docteur Roux, 75015 Paris</w:t>
      </w:r>
    </w:p>
    <w:p w14:paraId="6A62AD1A" w14:textId="16AC9D44" w:rsidR="008D041B" w:rsidRPr="00977AB2" w:rsidRDefault="0099442C">
      <w:pPr>
        <w:rPr>
          <w:lang w:val="en-US"/>
        </w:rPr>
      </w:pPr>
      <w:r w:rsidRPr="00977AB2">
        <w:rPr>
          <w:b/>
          <w:bCs/>
          <w:lang w:val="en-US"/>
        </w:rPr>
        <w:t>Corresponding author:</w:t>
      </w:r>
      <w:r w:rsidRPr="00977AB2">
        <w:rPr>
          <w:lang w:val="en-US"/>
        </w:rPr>
        <w:t xml:space="preserve"> </w:t>
      </w:r>
      <w:r w:rsidR="006E6097">
        <w:rPr>
          <w:lang w:val="en-US"/>
        </w:rPr>
        <w:t xml:space="preserve">Bernd Jagla, ORCID: </w:t>
      </w:r>
      <w:r w:rsidR="006E6097" w:rsidRPr="006E6097">
        <w:rPr>
          <w:lang w:val="en-US"/>
        </w:rPr>
        <w:t>https://orcid.org/0000-0002-7696-0484</w:t>
      </w:r>
    </w:p>
    <w:p w14:paraId="6697B6EE" w14:textId="77777777" w:rsidR="008D041B" w:rsidRPr="00E7239E" w:rsidRDefault="0099442C">
      <w:pPr>
        <w:rPr>
          <w:color w:val="EE0000"/>
          <w:lang w:val="en-US"/>
        </w:rPr>
      </w:pPr>
      <w:r w:rsidRPr="00977AB2">
        <w:rPr>
          <w:b/>
          <w:bCs/>
          <w:lang w:val="en-US"/>
        </w:rPr>
        <w:t>Acknowledgments</w:t>
      </w:r>
      <w:r w:rsidRPr="00E7239E">
        <w:rPr>
          <w:b/>
          <w:bCs/>
          <w:color w:val="EE0000"/>
          <w:lang w:val="en-US"/>
        </w:rPr>
        <w:t>:</w:t>
      </w:r>
      <w:r w:rsidRPr="00E7239E">
        <w:rPr>
          <w:color w:val="EE0000"/>
          <w:lang w:val="en-US"/>
        </w:rPr>
        <w:t xml:space="preserve"> [TODO: funding sources, acknowledgments]</w:t>
      </w:r>
    </w:p>
    <w:p w14:paraId="6551A54C" w14:textId="77777777" w:rsidR="008D041B" w:rsidRPr="00E7239E" w:rsidRDefault="0099442C">
      <w:pPr>
        <w:rPr>
          <w:color w:val="EE0000"/>
          <w:lang w:val="en-US"/>
        </w:rPr>
      </w:pPr>
      <w:r w:rsidRPr="00977AB2">
        <w:rPr>
          <w:b/>
          <w:bCs/>
          <w:lang w:val="en-US"/>
        </w:rPr>
        <w:t>Funding</w:t>
      </w:r>
      <w:r w:rsidRPr="00E7239E">
        <w:rPr>
          <w:b/>
          <w:bCs/>
          <w:color w:val="EE0000"/>
          <w:lang w:val="en-US"/>
        </w:rPr>
        <w:t>:</w:t>
      </w:r>
      <w:r w:rsidRPr="00E7239E">
        <w:rPr>
          <w:color w:val="EE0000"/>
          <w:lang w:val="en-US"/>
        </w:rPr>
        <w:t xml:space="preserve"> [TODO: grant numbers and funding bodies]</w:t>
      </w:r>
    </w:p>
    <w:p w14:paraId="083F307A" w14:textId="77777777" w:rsidR="008D041B" w:rsidRPr="00977AB2" w:rsidRDefault="0099442C">
      <w:pPr>
        <w:rPr>
          <w:lang w:val="en-US"/>
        </w:rPr>
      </w:pPr>
      <w:r w:rsidRPr="00977AB2">
        <w:rPr>
          <w:b/>
          <w:bCs/>
          <w:lang w:val="en-US"/>
        </w:rPr>
        <w:t>Conflict of interest:</w:t>
      </w:r>
      <w:r w:rsidRPr="00977AB2">
        <w:rPr>
          <w:lang w:val="en-US"/>
        </w:rPr>
        <w:t xml:space="preserve"> The authors declare no conflicts of interest.</w:t>
      </w:r>
    </w:p>
    <w:p w14:paraId="7B335FF4" w14:textId="05554BDD" w:rsidR="008D041B" w:rsidRPr="00977AB2" w:rsidRDefault="0099442C">
      <w:pPr>
        <w:rPr>
          <w:lang w:val="en-US"/>
        </w:rPr>
      </w:pPr>
      <w:r w:rsidRPr="00977AB2">
        <w:rPr>
          <w:b/>
          <w:bCs/>
          <w:lang w:val="en-US"/>
        </w:rPr>
        <w:t>Data and code availability:</w:t>
      </w:r>
      <w:r w:rsidRPr="00977AB2">
        <w:rPr>
          <w:lang w:val="en-US"/>
        </w:rPr>
        <w:t xml:space="preserve"> The CyFj11 package is available at </w:t>
      </w:r>
      <w:r w:rsidR="00905884" w:rsidRPr="00905884">
        <w:rPr>
          <w:lang w:val="en-US"/>
        </w:rPr>
        <w:t>https://github.com/C3BI-pasteur-fr/CyFj11</w:t>
      </w:r>
      <w:r w:rsidRPr="00977AB2">
        <w:rPr>
          <w:lang w:val="en-US"/>
        </w:rPr>
        <w:t xml:space="preserve">. </w:t>
      </w:r>
    </w:p>
    <w:p w14:paraId="7CF51736" w14:textId="19426860" w:rsidR="008D041B" w:rsidRPr="00977AB2" w:rsidRDefault="0099442C">
      <w:pPr>
        <w:rPr>
          <w:lang w:val="en-US"/>
        </w:rPr>
      </w:pPr>
      <w:r w:rsidRPr="00977AB2">
        <w:rPr>
          <w:b/>
          <w:bCs/>
          <w:lang w:val="en-US"/>
        </w:rPr>
        <w:t>AI use disclosure:</w:t>
      </w:r>
      <w:r w:rsidR="00684CBC" w:rsidRPr="00684CBC">
        <w:rPr>
          <w:lang w:val="en-US"/>
        </w:rPr>
        <w:t xml:space="preserve"> </w:t>
      </w:r>
      <w:r w:rsidR="00684CBC" w:rsidRPr="00684CBC">
        <w:rPr>
          <w:lang w:val="en-US"/>
        </w:rPr>
        <w:t>AI-assisted tools were used for drafting and editing portions of this manuscript.</w:t>
      </w:r>
      <w:r w:rsidRPr="00977AB2">
        <w:rPr>
          <w:lang w:val="en-US"/>
        </w:rPr>
        <w:t xml:space="preserve"> All scientific content and interpretation are the responsibility of the authors.</w:t>
      </w:r>
    </w:p>
    <w:p w14:paraId="7E26059B" w14:textId="77777777" w:rsidR="00905884" w:rsidRPr="00905884" w:rsidRDefault="0099442C" w:rsidP="00905884">
      <w:pPr>
        <w:rPr>
          <w:lang w:val="en-US"/>
        </w:rPr>
      </w:pPr>
      <w:r w:rsidRPr="00977AB2">
        <w:rPr>
          <w:b/>
          <w:bCs/>
          <w:lang w:val="en-US"/>
        </w:rPr>
        <w:t>Author contributions (CRediT):</w:t>
      </w:r>
      <w:r w:rsidRPr="00977AB2">
        <w:rPr>
          <w:lang w:val="en-US"/>
        </w:rPr>
        <w:t xml:space="preserve"> </w:t>
      </w:r>
      <w:r w:rsidR="00905884">
        <w:rPr>
          <w:lang w:val="en-US"/>
        </w:rPr>
        <w:t xml:space="preserve">BJ: </w:t>
      </w:r>
      <w:r w:rsidR="00905884" w:rsidRPr="00905884">
        <w:rPr>
          <w:lang w:val="en-US"/>
        </w:rPr>
        <w:t>Conceptualization, Methodology, Software, Validation,</w:t>
      </w:r>
    </w:p>
    <w:p w14:paraId="61887152" w14:textId="2D73E865" w:rsidR="008D041B" w:rsidRPr="00977AB2" w:rsidRDefault="00905884" w:rsidP="00905884">
      <w:pPr>
        <w:rPr>
          <w:lang w:val="en-US"/>
        </w:rPr>
      </w:pPr>
      <w:r w:rsidRPr="00905884">
        <w:rPr>
          <w:lang w:val="en-US"/>
        </w:rPr>
        <w:t xml:space="preserve">               Investigation, Writing – original draft</w:t>
      </w:r>
      <w:r>
        <w:rPr>
          <w:lang w:val="en-US"/>
        </w:rPr>
        <w:t xml:space="preserve">. MH: </w:t>
      </w:r>
      <w:r w:rsidRPr="00905884">
        <w:rPr>
          <w:lang w:val="en-US"/>
        </w:rPr>
        <w:t>Supervision, Writing – review &amp; editing</w:t>
      </w:r>
    </w:p>
    <w:p w14:paraId="4A70369F" w14:textId="77777777" w:rsidR="008D041B" w:rsidRDefault="00F065AE">
      <w:r>
        <w:rPr>
          <w:noProof/>
        </w:rPr>
        <w:pict w14:anchorId="728DAF70">
          <v:rect id="_x0000_i1041" alt="" style="width:451.3pt;height:.05pt;mso-width-percent:0;mso-height-percent:0;mso-width-percent:0;mso-height-percent:0" o:hralign="center" o:hrstd="t" o:hr="t"/>
        </w:pict>
      </w:r>
    </w:p>
    <w:p w14:paraId="4DEC57D0" w14:textId="77777777" w:rsidR="008D041B" w:rsidRDefault="0099442C">
      <w:pPr>
        <w:pStyle w:val="Heading1"/>
      </w:pPr>
      <w:bookmarkStart w:id="1" w:name="abstract"/>
      <w:bookmarkEnd w:id="0"/>
      <w:r>
        <w:t>Abstract</w:t>
      </w:r>
    </w:p>
    <w:p w14:paraId="7EF1AF89" w14:textId="09F0F516" w:rsidR="008D041B" w:rsidRPr="00981FA9" w:rsidRDefault="00905884" w:rsidP="00905884">
      <w:pPr>
        <w:pStyle w:val="NormalWeb"/>
      </w:pPr>
      <w:r>
        <w:t xml:space="preserve">High-dimensional flow cytometry data analysis increasingly requires movement between the commercial FlowJo platform and the open-source R/Bioconductor ecosystem. The release of FlowJo version 11 (v11) introduced a JSON-based workspace format that is incompatible with existing R interoperability tools, creating a barrier for computational cytometry workflows. We present CyFj11, an R package that enables full import of FlowJo v11 workspaces into R GatingSet objects and export to the FlowJo v10 XML format. Import supports all major gate types (rectangle, polygon, ellipsoid, range, quadrant, and Boolean) and all common transformation functions (biexponential, logicle, log, arcsinh, and linear), as well as compensation matrix extraction. </w:t>
      </w:r>
      <w:r w:rsidR="00981FA9" w:rsidRPr="00981FA9">
        <w:t xml:space="preserve">Export targets the FlowJo v10 XML format, which is Gating-ML 2.0 compliant and readable by both FlowJo v10 and v11, providing a practical interoperability pathway. Validation against FlowJo v10 confirmed high export fidelity, with 75% of tested populations showing exact count agreement and a maximum deviation of 14 cells (0.30%). </w:t>
      </w:r>
      <w:r w:rsidR="00F76551" w:rsidRPr="00F76551">
        <w:t>A real-world validation using the FlowSOM example dataset (mouse bone marrow immunophenotyping, 15 populations, compensation matrix) confirmed export fidelity via the CytoML → CyFj11 pipeline, with FlowJo v10 showing exact agreement for all 12 compensated-channel populations and a maximum scatter-channel deviation of 10 cells (0.05%).</w:t>
      </w:r>
      <w:r w:rsidR="00F76551">
        <w:t xml:space="preserve"> </w:t>
      </w:r>
      <w:r w:rsidR="00981FA9" w:rsidRPr="00981FA9">
        <w:t xml:space="preserve">Validation against FlowJo v11 revealed that several v10-format features — specifically boolean gate definitions and arcsinh-transformed gates — are not correctly handled by FlowJo v11's v10 import mechanism; these limitations reflect FlowJo v11's partial </w:t>
      </w:r>
      <w:r w:rsidR="00981FA9" w:rsidRPr="00981FA9">
        <w:lastRenderedPageBreak/>
        <w:t>backward compatibility rather than deficiencies in the CyFj11 export.</w:t>
      </w:r>
      <w:r w:rsidR="00981FA9">
        <w:t xml:space="preserve"> </w:t>
      </w:r>
      <w:r>
        <w:t xml:space="preserve">CyFj11 is implemented in pure R, requires no compiled code or container infrastructure, and runs on all platforms supported by R including macOS on Apple Silicon. The package is available at </w:t>
      </w:r>
      <w:r w:rsidRPr="00905884">
        <w:rPr>
          <w:lang w:val="en-US"/>
        </w:rPr>
        <w:t>https://github.com/C3BI-pasteur-fr/CyFj11</w:t>
      </w:r>
      <w:r>
        <w:rPr>
          <w:lang w:val="en-US"/>
        </w:rPr>
        <w:t>.</w:t>
      </w:r>
    </w:p>
    <w:p w14:paraId="18E806F8" w14:textId="77777777" w:rsidR="008D041B" w:rsidRDefault="0099442C">
      <w:pPr>
        <w:rPr>
          <w:lang w:val="en-US"/>
        </w:rPr>
      </w:pPr>
      <w:r w:rsidRPr="00977AB2">
        <w:rPr>
          <w:b/>
          <w:bCs/>
          <w:lang w:val="en-US"/>
        </w:rPr>
        <w:t>Keywords:</w:t>
      </w:r>
      <w:r w:rsidRPr="00977AB2">
        <w:rPr>
          <w:lang w:val="en-US"/>
        </w:rPr>
        <w:t xml:space="preserve"> flow cytometry, FlowJo, GatingSet, Gating-ML, workspace interoperability, R/Bioconductor</w:t>
      </w:r>
    </w:p>
    <w:p w14:paraId="0DDE532B" w14:textId="77777777" w:rsidR="0081532D" w:rsidRDefault="0081532D">
      <w:pPr>
        <w:rPr>
          <w:lang w:val="en-US"/>
        </w:rPr>
      </w:pPr>
    </w:p>
    <w:p w14:paraId="3FDA0468" w14:textId="77777777" w:rsidR="0081532D" w:rsidRDefault="0081532D">
      <w:pPr>
        <w:rPr>
          <w:lang w:val="en-US"/>
        </w:rPr>
      </w:pPr>
    </w:p>
    <w:p w14:paraId="3D0BFF5A" w14:textId="77777777" w:rsidR="0081532D" w:rsidRPr="00977AB2" w:rsidRDefault="0081532D">
      <w:pPr>
        <w:rPr>
          <w:lang w:val="en-US"/>
        </w:rPr>
      </w:pPr>
    </w:p>
    <w:p w14:paraId="186016A9" w14:textId="77777777" w:rsidR="008D041B" w:rsidRDefault="00F065AE">
      <w:r>
        <w:rPr>
          <w:noProof/>
        </w:rPr>
        <w:pict w14:anchorId="6CE54891">
          <v:rect id="_x0000_i1040" alt="" style="width:451.3pt;height:.05pt;mso-width-percent:0;mso-height-percent:0;mso-width-percent:0;mso-height-percent:0" o:hralign="center" o:hrstd="t" o:hr="t"/>
        </w:pict>
      </w:r>
    </w:p>
    <w:p w14:paraId="3EA577BA" w14:textId="77777777" w:rsidR="0081532D" w:rsidRDefault="0081532D" w:rsidP="0081532D">
      <w:pPr>
        <w:pStyle w:val="Heading1"/>
        <w:rPr>
          <w:rFonts w:ascii="Times New Roman" w:hAnsi="Times New Roman"/>
          <w:lang w:eastAsia="en-GB"/>
        </w:rPr>
      </w:pPr>
      <w:bookmarkStart w:id="2" w:name="introduction"/>
      <w:bookmarkStart w:id="3" w:name="what-cyfj11-provides"/>
      <w:bookmarkEnd w:id="1"/>
      <w:r>
        <w:t>Introduction</w:t>
      </w:r>
    </w:p>
    <w:p w14:paraId="6CEEECD7" w14:textId="6A8800FF" w:rsidR="0081532D" w:rsidRDefault="0081532D" w:rsidP="0081532D">
      <w:pPr>
        <w:pStyle w:val="NormalWeb"/>
      </w:pPr>
      <w:r>
        <w:t>Flow cytometry is a cornerstone technology in cell biology, immunology, and clinical diagnostics</w:t>
      </w:r>
      <w:r w:rsidRPr="003623ED">
        <w:t xml:space="preserve">, enabling simultaneous measurement of multiple markers across millions of individual cells </w:t>
      </w:r>
      <w:r w:rsidR="000C2A9A">
        <w:fldChar w:fldCharType="begin"/>
      </w:r>
      <w:r w:rsidR="000C2A9A">
        <w:instrText xml:space="preserve"> ADDIN ZOTERO_ITEM CSL_CITATION {"citationID":"09EuXpF3","properties":{"unsorted":false,"formattedCitation":"(1)","plainCitation":"(1)","noteIndex":0},"citationItems":[{"id":19681,"uris":["http://zotero.org/groups/2522180/items/FZT7X8WY"],"itemData":{"id":19681,"type":"article-journal","container-title":"Nature Reviews Immunology","DOI":"10.1038/nri3158","ISSN":"1474-1733, 1474-1741","issue":"3","journalAbbreviation":"Nat Rev Immunol","language":"en","page":"191-200","source":"DOI.org (Crossref)","title":"Standardizing immunophenotyping for the Human Immunology Project","volume":"12","author":[{"family":"Maecker","given":"Holden T."},{"family":"McCoy","given":"J. Philip"},{"family":"Nussenblatt","given":"Robert"}],"issued":{"date-parts":[["2012",3]]}}}],"schema":"https://github.com/citation-style-language/schema/raw/master/csl-citation.json"} </w:instrText>
      </w:r>
      <w:r w:rsidR="000C2A9A">
        <w:fldChar w:fldCharType="separate"/>
      </w:r>
      <w:r w:rsidR="000C2A9A">
        <w:rPr>
          <w:noProof/>
        </w:rPr>
        <w:t>(1)</w:t>
      </w:r>
      <w:r w:rsidR="000C2A9A">
        <w:fldChar w:fldCharType="end"/>
      </w:r>
      <w:r w:rsidR="00A4189D" w:rsidRPr="00175C38">
        <w:rPr>
          <w:color w:val="273437"/>
          <w:shd w:val="clear" w:color="auto" w:fill="FFFFFF"/>
        </w:rPr>
        <w:fldChar w:fldCharType="begin"/>
      </w:r>
      <w:r w:rsidR="000C2A9A">
        <w:rPr>
          <w:color w:val="273437"/>
          <w:shd w:val="clear" w:color="auto" w:fill="FFFFFF"/>
        </w:rPr>
        <w:instrText xml:space="preserve"> ADDIN ZOTERO_ITEM CSL_CITATION {"citationID":"baFRBFtg","properties":{"unsorted":false,"formattedCitation":"(2)","plainCitation":"(2)","noteIndex":0},"citationItems":[{"id":12730,"uris":["http://zotero.org/users/4580003/items/CNCAGUJ8"],"itemData":{"id":12730,"type":"article-journal","abstract":"The quantification and characterization of circulating immune cells provide key indicators of human health and disease. To identify the relative effects of environmental and genetic factors on variation in the parameters of innate and adaptive immune cells in homeostatic conditions, we combined standardized flow cytometry of blood leukocytes and genome-wide DNA genotyping of 1,000 healthy, unrelated people of Western European ancestry. We found that smoking, together with age, sex and latent infection with cytomegalovirus, were the main non-genetic factors that affected variation in parameters of human immune cells. Genome-wide association studies of 166 immunophenotypes identified 15 loci that showed enrichment for disease-associated variants. Finally, we demonstrated that the parameters of innate cells were more strongly controlled by genetic variation than were those of adaptive cells, which were driven by mainly environmental exposure. Our data establish a resource that will generate new hypotheses in immunology and highlight the role of innate immunity in susceptibility to common autoimmune diseases.","container-title":"Nature Immunology","DOI":"10.1038/s41590-018-0049-7","issue":"3","language":"en","page":"302","PMID":"29476184","source":"hal.science","title":"Natural variation in the parameters of innate immune cells is preferentially driven by genetic factors","volume":"19","author":[{"family":"Patin","given":"Etienne"},{"family":"Hasan","given":"Milena"},{"family":"Bergstedt","given":"Jacob"},{"family":"Rouilly","given":"Vincent"},{"family":"Libri","given":"Valentina"},{"family":"Urrutia","given":"Alejandra"},{"family":"Alanio","given":"Cécile"},{"family":"Scepanovic","given":"Petar"},{"family":"Hammer","given":"Christian"},{"family":"Jönsson","given":"Friederike"},{"family":"Beitz","given":"Benoit"},{"family":"Quach","given":"Hélène"},{"family":"Lim","given":"Yoong Wearn"},{"family":"Hunkapiller","given":"Julie"},{"family":"Zepeda","given":"Magge"},{"family":"Green","given":"Cherie"},{"family":"Piasecka","given":"Barbara"},{"family":"Leloup","given":"Claire"},{"family":"Rogge","given":"Lars"},{"family":"Huetz","given":"François"},{"family":"Peguillet","given":"Isabelle"},{"family":"Lantz","given":"Olivier"},{"family":"Fontes","given":"Magnus"},{"family":"Santo","given":"James"},{"family":"Thomas","given":"Stéphanie"},{"family":"Fellay","given":"Jacques"},{"family":"Duffy","given":"Darragh"},{"family":"Quintana-Murci","given":"Lluis"},{"family":"Albert","given":"Matthew"},{"family":"Interieur","given":"Consortium The Milieu"}],"issued":{"date-parts":[["2018"]]}}}],"schema":"https://github.com/citation-style-language/schema/raw/master/csl-citation.json"} </w:instrText>
      </w:r>
      <w:r w:rsidR="00A4189D" w:rsidRPr="00175C38">
        <w:rPr>
          <w:color w:val="273437"/>
          <w:shd w:val="clear" w:color="auto" w:fill="FFFFFF"/>
        </w:rPr>
        <w:fldChar w:fldCharType="separate"/>
      </w:r>
      <w:r w:rsidR="000C2A9A">
        <w:rPr>
          <w:noProof/>
          <w:color w:val="273437"/>
          <w:shd w:val="clear" w:color="auto" w:fill="FFFFFF"/>
        </w:rPr>
        <w:t>(2)</w:t>
      </w:r>
      <w:r w:rsidR="00A4189D" w:rsidRPr="00175C38">
        <w:rPr>
          <w:color w:val="273437"/>
          <w:shd w:val="clear" w:color="auto" w:fill="FFFFFF"/>
        </w:rPr>
        <w:fldChar w:fldCharType="end"/>
      </w:r>
      <w:r w:rsidRPr="003623ED">
        <w:t xml:space="preserve">. As panel sizes grow — from conventional 8–18 parameter fluorescence configurations to modern </w:t>
      </w:r>
      <w:r>
        <w:t>spectral cytometry panels exceeding 40 parameters — the analytical demands have correspondingly increased. Manual gating in commercial software remains the dominant practice for initial data exploration, while computational R-based pipelines are increasingly used for downstream statistical analysis, batch processing, and reproducible reporting.</w:t>
      </w:r>
    </w:p>
    <w:p w14:paraId="2500DEE1" w14:textId="20E0A70C" w:rsidR="0081532D" w:rsidRDefault="0081532D" w:rsidP="0081532D">
      <w:pPr>
        <w:pStyle w:val="NormalWeb"/>
      </w:pPr>
      <w:r>
        <w:t>FlowJo (</w:t>
      </w:r>
      <w:r w:rsidRPr="003623ED">
        <w:t>BD Biosciences</w:t>
      </w:r>
      <w:r w:rsidR="00175C38">
        <w:t>, Waters Biosciences</w:t>
      </w:r>
      <w:r w:rsidRPr="003623ED">
        <w:t xml:space="preserve">) is one of the most widely used commercial platforms for flow cytometry data analysis, providing a graphical interface for gating, compensation, and population statistics </w:t>
      </w:r>
      <w:r w:rsidR="00A4189D">
        <w:fldChar w:fldCharType="begin"/>
      </w:r>
      <w:r w:rsidR="000C2A9A">
        <w:instrText xml:space="preserve"> ADDIN ZOTERO_ITEM CSL_CITATION {"citationID":"HLLONWvv","properties":{"unsorted":false,"formattedCitation":"(3)","plainCitation":"(3)","noteIndex":0},"citationItems":[{"id":19654,"uris":["http://zotero.org/groups/2522180/items/PH4CETA5"],"itemData":{"id":19654,"type":"software","publisher":"Becton, Dickinson and Company","title":"FlowJo TM, version 10 &amp; 11","version":"10&amp;11"}}],"schema":"https://github.com/citation-style-language/schema/raw/master/csl-citation.json"} </w:instrText>
      </w:r>
      <w:r w:rsidR="00A4189D">
        <w:fldChar w:fldCharType="separate"/>
      </w:r>
      <w:r w:rsidR="000C2A9A">
        <w:rPr>
          <w:noProof/>
        </w:rPr>
        <w:t>(3)</w:t>
      </w:r>
      <w:r w:rsidR="00A4189D">
        <w:fldChar w:fldCharType="end"/>
      </w:r>
      <w:r w:rsidRPr="003623ED">
        <w:t>. The R/Bioconductor ecosystem, centered on the flowCore</w:t>
      </w:r>
      <w:r w:rsidR="00F83312">
        <w:t xml:space="preserve"> </w:t>
      </w:r>
      <w:r w:rsidR="00F83312">
        <w:fldChar w:fldCharType="begin"/>
      </w:r>
      <w:r w:rsidR="000C2A9A">
        <w:instrText xml:space="preserve"> ADDIN ZOTERO_ITEM CSL_CITATION {"citationID":"nE2MyxhY","properties":{"unsorted":false,"formattedCitation":"(4)","plainCitation":"(4)","noteIndex":0},"citationItems":[{"id":19680,"uris":["http://zotero.org/groups/2522180/items/6C3YAG2R"],"itemData":{"id":19680,"type":"software","DOI":"10.18129/B9.BIOC.FLOWCORE","publisher":"Bioconductor","source":"DOI.org (Datacite)","title":"flowCore","URL":"https://bioconductor.org/packages/flowCore","author":[{"family":"B. Ellis","given":"P. Haaland"}],"accessed":{"date-parts":[["2026",7,5]]},"issued":{"date-parts":[["2017"]]}}}],"schema":"https://github.com/citation-style-language/schema/raw/master/csl-citation.json"} </w:instrText>
      </w:r>
      <w:r w:rsidR="00F83312">
        <w:fldChar w:fldCharType="separate"/>
      </w:r>
      <w:r w:rsidR="000C2A9A">
        <w:rPr>
          <w:noProof/>
        </w:rPr>
        <w:t>(4)</w:t>
      </w:r>
      <w:r w:rsidR="00F83312">
        <w:fldChar w:fldCharType="end"/>
      </w:r>
      <w:r w:rsidRPr="003623ED">
        <w:t xml:space="preserve"> and flowWorkspace</w:t>
      </w:r>
      <w:r w:rsidR="00A4189D">
        <w:t xml:space="preserve"> </w:t>
      </w:r>
      <w:r w:rsidR="00A4189D">
        <w:fldChar w:fldCharType="begin"/>
      </w:r>
      <w:r w:rsidR="000C2A9A">
        <w:instrText xml:space="preserve"> ADDIN ZOTERO_ITEM CSL_CITATION {"citationID":"XN0rpnxZ","properties":{"unsorted":false,"formattedCitation":"(5)","plainCitation":"(5)","noteIndex":0},"citationItems":[{"id":19656,"uris":["http://zotero.org/groups/2522180/items/K7VXD2CI"],"itemData":{"id":19656,"type":"software","DOI":"10.18129/B9.BIOC.FLOWWORKSPACE","publisher":"Bioconductor","source":"DOI.org (Datacite)","title":"flowWorkspace","URL":"https://bioconductor.org/packages/flowWorkspace","author":[{"family":"Greg Finak","given":"Mike Jiang"}],"accessed":{"date-parts":[["2026",6,25]]},"issued":{"date-parts":[["2017"]]}}}],"schema":"https://github.com/citation-style-language/schema/raw/master/csl-citation.json"} </w:instrText>
      </w:r>
      <w:r w:rsidR="00A4189D">
        <w:fldChar w:fldCharType="separate"/>
      </w:r>
      <w:r w:rsidR="000C2A9A">
        <w:rPr>
          <w:noProof/>
        </w:rPr>
        <w:t>(5)</w:t>
      </w:r>
      <w:r w:rsidR="00A4189D">
        <w:fldChar w:fldCharType="end"/>
      </w:r>
      <w:r w:rsidRPr="003623ED">
        <w:t xml:space="preserve"> packages, provides a complementary suite of tools for programmatic analysis: automation of repetitive tasks, integration with statistical frameworks, and reproducible computational workflows </w:t>
      </w:r>
      <w:r w:rsidR="007D7B00">
        <w:fldChar w:fldCharType="begin"/>
      </w:r>
      <w:r w:rsidR="000C2A9A">
        <w:instrText xml:space="preserve"> ADDIN ZOTERO_ITEM CSL_CITATION {"citationID":"xyAEvs0w","properties":{"unsorted":false,"formattedCitation":"(6)","plainCitation":"(6)","noteIndex":0},"citationItems":[{"id":19657,"uris":["http://zotero.org/groups/2522180/items/D7WSMW6C"],"itemData":{"id":19657,"type":"article-journal","container-title":"PLoS Computational Biology","DOI":"10.1371/journal.pcbi.1003806","ISSN":"1553-7358","issue":"8","journalAbbreviation":"PLoS Comput Biol","language":"en","page":"e1003806","source":"DOI.org (Crossref)","title":"OpenCyto: An Open Source Infrastructure for Scalable, Robust, Reproducible, and Automated, End-to-End Flow Cytometry Data Analysis","title-short":"OpenCyto","volume":"10","author":[{"family":"Finak","given":"Greg"},{"family":"Frelinger","given":"Jacob"},{"family":"Jiang","given":"Wenxin"},{"family":"Newell","given":"Evan W."},{"family":"Ramey","given":"John"},{"family":"Davis","given":"Mark M."},{"family":"Kalams","given":"Spyros A."},{"family":"De Rosa","given":"Stephen C."},{"family":"Gottardo","given":"Raphael"}],"editor":[{"family":"Prlic","given":"Andreas"}],"issued":{"date-parts":[["2014",8,28]]}}}],"schema":"https://github.com/citation-style-language/schema/raw/master/csl-citation.json"} </w:instrText>
      </w:r>
      <w:r w:rsidR="007D7B00">
        <w:fldChar w:fldCharType="separate"/>
      </w:r>
      <w:r w:rsidR="000C2A9A">
        <w:rPr>
          <w:noProof/>
        </w:rPr>
        <w:t>(6)</w:t>
      </w:r>
      <w:r w:rsidR="007D7B00">
        <w:fldChar w:fldCharType="end"/>
      </w:r>
      <w:r w:rsidRPr="003623ED">
        <w:t xml:space="preserve">. Effective interoperability between these two environments — enabling a researcher to import a FlowJo gating </w:t>
      </w:r>
      <w:r>
        <w:t>strategy into R, or to export R-derived gates back into FlowJo for visual review — is therefore essential for many laboratories.</w:t>
      </w:r>
    </w:p>
    <w:p w14:paraId="2D73316F" w14:textId="2C2440AC" w:rsidR="0081532D" w:rsidRDefault="0081532D" w:rsidP="0081532D">
      <w:pPr>
        <w:pStyle w:val="NormalWeb"/>
      </w:pPr>
      <w:r w:rsidRPr="003623ED">
        <w:t xml:space="preserve">The release of FlowJo version 11 introduced a fundamental change in workspace architecture. The XML-based .wsp format used in v10, which conforms to the ISAC Gating-ML 2.0 standard </w:t>
      </w:r>
      <w:r w:rsidR="00E63467">
        <w:fldChar w:fldCharType="begin"/>
      </w:r>
      <w:r w:rsidR="000C2A9A">
        <w:instrText xml:space="preserve"> ADDIN ZOTERO_ITEM CSL_CITATION {"citationID":"4qZ0iWTS","properties":{"unsorted":false,"formattedCitation":"(7)","plainCitation":"(7)","noteIndex":0},"citationItems":[{"id":19665,"uris":["http://zotero.org/groups/2522180/items/J49Q8VH5"],"itemData":{"id":19665,"type":"article-journal","abstract":"Abstract\n            The lack of software interoperability with respect to gating has traditionally been a bottleneck preventing the use of multiple analytical tools and reproducibility of flow cytometry data analysis by independent parties. To address this issue, ISAC developed Gating‐ML, a computer file format to encode and interchange gates. Gating‐ML 1.5 was adopted and published as an ISAC Candidate Recommendation in 2008. Feedback during the probationary period from implementors, including major commercial software companies, instrument vendors, and the wider community, has led to a streamlined Gating‐ML 2.0. Gating‐ML has been significantly simplified and therefore easier to support by software tools. To aid developers, free, open source reference implementations, compliance tests, and detailed examples are provided to stimulate further commercial adoption. ISAC has approved Gating‐ML as a standard ready for deployment in the public domain and encourages its support within the community as it is at a mature stage of development having undergone extensive review and testing, under both theoretical and practical conditions. © 2015 International Society for Advancement of Cytometry","container-title":"Cytometry Part A","DOI":"10.1002/cyto.a.22690","ISSN":"1552-4922, 1552-4930","issue":"7","journalAbbreviation":"Cytometry Pt A","language":"en","license":"http://onlinelibrary.wiley.com/termsAndConditions#vor","page":"683-687","source":"DOI.org (Crossref)","title":"ISAC's Gating‐ML 2.0 data exchange standard for gating description","title-short":"&lt;span style=\"font-variant","volume":"87","author":[{"family":"Spidlen","given":"Josef"},{"family":"Moore","given":"Wayne"},{"literal":"ISAC Data Standards Task Force"},{"family":"Brinkman","given":"Ryan R."}],"issued":{"date-parts":[["2015",7]]}}}],"schema":"https://github.com/citation-style-language/schema/raw/master/csl-citation.json"} </w:instrText>
      </w:r>
      <w:r w:rsidR="00E63467">
        <w:fldChar w:fldCharType="separate"/>
      </w:r>
      <w:r w:rsidR="000C2A9A">
        <w:rPr>
          <w:noProof/>
        </w:rPr>
        <w:t>(7)</w:t>
      </w:r>
      <w:r w:rsidR="00E63467">
        <w:fldChar w:fldCharType="end"/>
      </w:r>
      <w:r w:rsidRPr="003623ED">
        <w:t xml:space="preserve">, was replaced by a JSON-based .flowjo format distributed as a ZIP archive. This new format uses extensive UUID cross-referencing among population definitions, sample-specific gate instances, data sources, and group assignments (see Supplementary File 1 for a detailed comparison). Because the v11 JSON schema is proprietary and not publicly documented, existing interoperability tools cannot </w:t>
      </w:r>
      <w:r>
        <w:t>read or write v11 workspaces.</w:t>
      </w:r>
    </w:p>
    <w:p w14:paraId="373C450B" w14:textId="1773CD86" w:rsidR="0081532D" w:rsidRDefault="0081532D" w:rsidP="0081532D">
      <w:pPr>
        <w:pStyle w:val="NormalWeb"/>
      </w:pPr>
      <w:r>
        <w:t xml:space="preserve">The primary existing tool for FlowJo–R interoperability, CytoML, supports reading FlowJo </w:t>
      </w:r>
      <w:r w:rsidRPr="003623ED">
        <w:t xml:space="preserve">v10 workspaces but not v11 </w:t>
      </w:r>
      <w:r w:rsidR="007D7B00">
        <w:fldChar w:fldCharType="begin"/>
      </w:r>
      <w:r w:rsidR="000C2A9A">
        <w:instrText xml:space="preserve"> ADDIN ZOTERO_ITEM CSL_CITATION {"citationID":"OOuYbTbS","properties":{"unsorted":false,"formattedCitation":"(8)","plainCitation":"(8)","noteIndex":0},"citationItems":[{"id":19659,"uris":["http://zotero.org/groups/2522180/items/LYWKBKYT"],"itemData":{"id":19659,"type":"article-journal","abstract":"Abstract\n            \n              CytoML\n              is an R/Bioconductor package that enables cross‐platform import, export, and sharing of gated cytometry data. It currently supports Cytobank, FlowJo, Diva, and R, allowing users to import gated cytometry data from commercial platforms into R. Once data are available in R, the data can be further manipulated. For example it can be combined with other computational and analytic approaches, and the results can be exported to FlowJo or Cytobank to be explored by researchers using those platforms. We demonstrate how\n              CytoML\n              and related R packages can be used as a tool to import, modify and export several samples stained with the T cell panel from the FlowCAP IV Lyoplate data set. Once imported, the gating is modified using computational approaches, and exported for visualization in Cytobank and FlowJo. We further show how\n              CytoML\n              can be used to import gated data from a publicly accessible mass cytometry experiment from Cytobank.\n              CytoML\n              is the only tool that allows such sharing of gated cytometry data between researchers working across different platforms, and it will serve as a useful tool for validating and verifying the reproducibility of analyses. © 2018 The Authors. Cytometry Part A published by Wiley Periodicals, Inc. on behalf of International Society for Advancement of Cytometry.","container-title":"Cytometry Part A","DOI":"10.1002/cyto.a.23663","ISSN":"1552-4922, 1552-4930","issue":"12","journalAbbreviation":"Cytometry Pt A","language":"en","page":"1189-1196","source":"DOI.org (Crossref)","title":"&lt;i&gt;CytoML&lt;/i&gt; for cross‐platform cytometry data sharing","volume":"93","author":[{"family":"Finak","given":"Greg"},{"family":"Jiang","given":"Wenxin"},{"family":"Gottardo","given":"Raphael"}],"issued":{"date-parts":[["2018",12]]}}}],"schema":"https://github.com/citation-style-language/schema/raw/master/csl-citation.json"} </w:instrText>
      </w:r>
      <w:r w:rsidR="007D7B00">
        <w:fldChar w:fldCharType="separate"/>
      </w:r>
      <w:r w:rsidR="000C2A9A">
        <w:rPr>
          <w:noProof/>
        </w:rPr>
        <w:t>(8)</w:t>
      </w:r>
      <w:r w:rsidR="007D7B00">
        <w:fldChar w:fldCharType="end"/>
      </w:r>
      <w:r w:rsidRPr="003623ED">
        <w:t xml:space="preserve">. Write support in CytoML relies on compiled C++ components distributed via Docker containers, which have not been maintained for current operating system versions, including macOS </w:t>
      </w:r>
      <w:r>
        <w:t>on Apple Silicon (ARM architecture). These factors create a practical barrier for researchers who work with FlowJo v11 and need to integrate their analyses with R.</w:t>
      </w:r>
      <w:r w:rsidR="007D7B00">
        <w:t xml:space="preserve"> </w:t>
      </w:r>
    </w:p>
    <w:p w14:paraId="1E31890C" w14:textId="6FB888D7" w:rsidR="0081532D" w:rsidRDefault="0081532D" w:rsidP="0081532D">
      <w:pPr>
        <w:pStyle w:val="NormalWeb"/>
      </w:pPr>
      <w:r>
        <w:lastRenderedPageBreak/>
        <w:t>Here we present CyFj11, an R package that addresses this gap through asymmetric format conversion: full import support for FlowJo v11 workspaces into R GatingSet objects, and export to the FlowJo v10 XML format. The asymmetry is intentional — v11 import was implemented by reverse-engineering the ZIP-based JSON structure, while export targets the documented Gating-ML 2.0 v10 standard rather than the opaque v11 schema. FlowJo v11 can open v10-format workspaces, making this a practical workflow: import v11 for R analysis, export to v10 for return to FlowJo. The pure R implementation requires no compiled code or containers, ensuring cross-platform compatibility.</w:t>
      </w:r>
    </w:p>
    <w:p w14:paraId="6D6340DD" w14:textId="77777777" w:rsidR="0081532D" w:rsidRDefault="0081532D" w:rsidP="0081532D">
      <w:pPr>
        <w:pStyle w:val="NormalWeb"/>
      </w:pPr>
      <w:r>
        <w:t>The tool is positioned as a complement to, rather than a replacement for, CytoML: it covers the v11 import case that CytoML does not handle, and provides a maintained native-R v10 export path.</w:t>
      </w:r>
    </w:p>
    <w:p w14:paraId="684FD867" w14:textId="2BE94F51" w:rsidR="008D041B" w:rsidRPr="00086105" w:rsidRDefault="000950D1">
      <w:pPr>
        <w:rPr>
          <w:lang w:val="en-US"/>
        </w:rPr>
      </w:pPr>
      <w:r w:rsidRPr="000950D1">
        <w:rPr>
          <w:noProof/>
          <w:lang w:val="en-US"/>
        </w:rPr>
        <w:drawing>
          <wp:inline distT="0" distB="0" distL="0" distR="0" wp14:anchorId="30949E95" wp14:editId="5C676609">
            <wp:extent cx="5760720" cy="2806065"/>
            <wp:effectExtent l="0" t="0" r="5080" b="635"/>
            <wp:docPr id="5383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69084" name=""/>
                    <pic:cNvPicPr/>
                  </pic:nvPicPr>
                  <pic:blipFill>
                    <a:blip r:embed="rId12"/>
                    <a:stretch>
                      <a:fillRect/>
                    </a:stretch>
                  </pic:blipFill>
                  <pic:spPr>
                    <a:xfrm>
                      <a:off x="0" y="0"/>
                      <a:ext cx="5760720" cy="2806065"/>
                    </a:xfrm>
                    <a:prstGeom prst="rect">
                      <a:avLst/>
                    </a:prstGeom>
                  </pic:spPr>
                </pic:pic>
              </a:graphicData>
            </a:graphic>
          </wp:inline>
        </w:drawing>
      </w:r>
    </w:p>
    <w:p w14:paraId="2AEE5F10" w14:textId="7FFAF322" w:rsidR="007E109E" w:rsidRDefault="007E109E" w:rsidP="007E109E">
      <w:pPr>
        <w:pStyle w:val="NormalWeb"/>
      </w:pPr>
      <w:r>
        <w:rPr>
          <w:rStyle w:val="Strong"/>
        </w:rPr>
        <w:t>Figure 1:</w:t>
      </w:r>
      <w:r>
        <w:t xml:space="preserve"> CyFj11 architecture and data flow. The package enables bidirectional conversion between FlowJo v11 workspaces and R GatingSet objects. (A) Import workflow: FlowJo v11 .flowjo files are parsed via ZIP extraction and JSON parsing, then converted to GatingSet objects with compensation, transformations, and FCS data. (B) Export workflow: GatingSet objects are extracted to gates, populations, and samples, then converted to FlowJo v10 XML format. The exported .wsp file can be opened in FlowJo v11</w:t>
      </w:r>
      <w:r w:rsidR="00ED3A9B">
        <w:t xml:space="preserve"> (C)</w:t>
      </w:r>
      <w:r>
        <w:t>.</w:t>
      </w:r>
    </w:p>
    <w:p w14:paraId="6B985CEE" w14:textId="77777777" w:rsidR="007E109E" w:rsidRPr="001B47E7" w:rsidRDefault="007E109E">
      <w:pPr>
        <w:rPr>
          <w:lang w:val="en-FR"/>
        </w:rPr>
      </w:pPr>
    </w:p>
    <w:p w14:paraId="1E622EFC" w14:textId="77777777" w:rsidR="0081532D" w:rsidRDefault="0081532D" w:rsidP="0081532D">
      <w:pPr>
        <w:pStyle w:val="Heading1"/>
        <w:rPr>
          <w:rFonts w:ascii="Times New Roman" w:hAnsi="Times New Roman"/>
          <w:lang w:eastAsia="en-GB"/>
        </w:rPr>
      </w:pPr>
      <w:r>
        <w:t>The CyFj11 Package</w:t>
      </w:r>
    </w:p>
    <w:p w14:paraId="37B12B3A" w14:textId="77777777" w:rsidR="0081532D" w:rsidRDefault="0081532D" w:rsidP="0081532D">
      <w:pPr>
        <w:pStyle w:val="NormalWeb"/>
      </w:pPr>
      <w:r>
        <w:t xml:space="preserve">The CyFj11 package was developed to bridge the interoperability gap between FlowJo v11 and the R/Bioconductor ecosystem through a three-function workflow: </w:t>
      </w:r>
      <w:r>
        <w:rPr>
          <w:rStyle w:val="HTMLCode"/>
        </w:rPr>
        <w:t>read_flowjo11_workspace()</w:t>
      </w:r>
      <w:r>
        <w:t xml:space="preserve"> imports FlowJo v11 workspaces, </w:t>
      </w:r>
      <w:r>
        <w:rPr>
          <w:rStyle w:val="HTMLCode"/>
        </w:rPr>
        <w:t>fj11_to_gatingset()</w:t>
      </w:r>
      <w:r>
        <w:t xml:space="preserve"> converts them to GatingSet objects, and </w:t>
      </w:r>
      <w:r>
        <w:rPr>
          <w:rStyle w:val="HTMLCode"/>
        </w:rPr>
        <w:t>export_flowjo10_workspace()</w:t>
      </w:r>
      <w:r>
        <w:t xml:space="preserve"> exports GatingSet objects to FlowJo v10 XML format.</w:t>
      </w:r>
    </w:p>
    <w:p w14:paraId="22D413F5" w14:textId="77777777" w:rsidR="0081532D" w:rsidRDefault="0081532D" w:rsidP="00513B4B">
      <w:pPr>
        <w:pStyle w:val="Heading2"/>
      </w:pPr>
      <w:r>
        <w:lastRenderedPageBreak/>
        <w:t>Design Rationale</w:t>
      </w:r>
    </w:p>
    <w:p w14:paraId="3D0E6736" w14:textId="77777777" w:rsidR="0081532D" w:rsidRPr="003623ED" w:rsidRDefault="0081532D" w:rsidP="0081532D">
      <w:pPr>
        <w:pStyle w:val="NormalWeb"/>
      </w:pPr>
      <w:r>
        <w:t xml:space="preserve">CyFj11 provides asymmetric conversion: complete FlowJo v11 import, with export limited to the FlowJo v10 XML format (Figure 1). This design reflects a deliberate engineering decision, not an incomplete implementation. The FlowJo v11 JSON schema requires maintaining a consistent graph of UUID relationships across dozens of entity types; without vendor documentation, generating a valid v11 export would require full reverse-engineering of this schema with no guarantee of compatibility across </w:t>
      </w:r>
      <w:r w:rsidRPr="003623ED">
        <w:t>FlowJo updates. In contrast, the v10 XML format follows the published Gating-ML 2.0 standard, enabling confident generation of valid, interoperable files. A detailed technical justification is provided in Supplementary File 1.</w:t>
      </w:r>
    </w:p>
    <w:p w14:paraId="6C9A47D9" w14:textId="77777777" w:rsidR="0081532D" w:rsidRDefault="0081532D" w:rsidP="00513B4B">
      <w:pPr>
        <w:pStyle w:val="Heading2"/>
      </w:pPr>
      <w:r>
        <w:t>Core Workflow</w:t>
      </w:r>
    </w:p>
    <w:p w14:paraId="75C349BD" w14:textId="77777777" w:rsidR="0081532D" w:rsidRDefault="0081532D" w:rsidP="0081532D">
      <w:pPr>
        <w:pStyle w:val="NormalWeb"/>
      </w:pPr>
      <w:r>
        <w:t>The typical CyFj11 workflow consists of three steps:</w:t>
      </w:r>
    </w:p>
    <w:p w14:paraId="5FF0C5E1" w14:textId="77777777" w:rsidR="0081532D" w:rsidRDefault="0081532D" w:rsidP="0081532D">
      <w:pPr>
        <w:pStyle w:val="HTMLPreformatted"/>
        <w:rPr>
          <w:rStyle w:val="HTMLCode"/>
        </w:rPr>
      </w:pPr>
      <w:r>
        <w:rPr>
          <w:rStyle w:val="HTMLCode"/>
        </w:rPr>
        <w:t>library(CyFj11)</w:t>
      </w:r>
    </w:p>
    <w:p w14:paraId="32E42A12" w14:textId="77777777" w:rsidR="0081532D" w:rsidRDefault="0081532D" w:rsidP="0081532D">
      <w:pPr>
        <w:pStyle w:val="HTMLPreformatted"/>
        <w:rPr>
          <w:rStyle w:val="HTMLCode"/>
        </w:rPr>
      </w:pPr>
    </w:p>
    <w:p w14:paraId="762ECC80" w14:textId="77777777" w:rsidR="0081532D" w:rsidRDefault="0081532D" w:rsidP="0081532D">
      <w:pPr>
        <w:pStyle w:val="HTMLPreformatted"/>
        <w:rPr>
          <w:rStyle w:val="HTMLCode"/>
        </w:rPr>
      </w:pPr>
      <w:r>
        <w:rPr>
          <w:rStyle w:val="HTMLCode"/>
        </w:rPr>
        <w:t># Step 1: Read a FlowJo v11 workspace</w:t>
      </w:r>
    </w:p>
    <w:p w14:paraId="7C685424" w14:textId="77777777" w:rsidR="0081532D" w:rsidRDefault="0081532D" w:rsidP="0081532D">
      <w:pPr>
        <w:pStyle w:val="HTMLPreformatted"/>
        <w:rPr>
          <w:rStyle w:val="HTMLCode"/>
        </w:rPr>
      </w:pPr>
      <w:r>
        <w:rPr>
          <w:rStyle w:val="HTMLCode"/>
        </w:rPr>
        <w:t>ws &lt;- read_flowjo11_workspace("experiment.flowjo")</w:t>
      </w:r>
    </w:p>
    <w:p w14:paraId="4970DCD8" w14:textId="77777777" w:rsidR="0081532D" w:rsidRDefault="0081532D" w:rsidP="0081532D">
      <w:pPr>
        <w:pStyle w:val="HTMLPreformatted"/>
        <w:rPr>
          <w:rStyle w:val="HTMLCode"/>
        </w:rPr>
      </w:pPr>
    </w:p>
    <w:p w14:paraId="09D51660" w14:textId="77777777" w:rsidR="0081532D" w:rsidRDefault="0081532D" w:rsidP="0081532D">
      <w:pPr>
        <w:pStyle w:val="HTMLPreformatted"/>
        <w:rPr>
          <w:rStyle w:val="HTMLCode"/>
        </w:rPr>
      </w:pPr>
      <w:r>
        <w:rPr>
          <w:rStyle w:val="HTMLCode"/>
        </w:rPr>
        <w:t># Step 2: Convert to a GatingSet (resolves FCS files, applies compensations</w:t>
      </w:r>
    </w:p>
    <w:p w14:paraId="4EC8146D" w14:textId="77777777" w:rsidR="0081532D" w:rsidRDefault="0081532D" w:rsidP="0081532D">
      <w:pPr>
        <w:pStyle w:val="HTMLPreformatted"/>
        <w:rPr>
          <w:rStyle w:val="HTMLCode"/>
        </w:rPr>
      </w:pPr>
      <w:r>
        <w:rPr>
          <w:rStyle w:val="HTMLCode"/>
        </w:rPr>
        <w:t>#         and transformations, executes gates)</w:t>
      </w:r>
    </w:p>
    <w:p w14:paraId="6CC4723C" w14:textId="77777777" w:rsidR="0081532D" w:rsidRDefault="0081532D" w:rsidP="0081532D">
      <w:pPr>
        <w:pStyle w:val="HTMLPreformatted"/>
        <w:rPr>
          <w:rStyle w:val="HTMLCode"/>
        </w:rPr>
      </w:pPr>
      <w:r>
        <w:rPr>
          <w:rStyle w:val="HTMLCode"/>
        </w:rPr>
        <w:t>gs &lt;- fj11_to_gatingset(ws, group_name = "All Samples")</w:t>
      </w:r>
    </w:p>
    <w:p w14:paraId="475F636E" w14:textId="77777777" w:rsidR="0081532D" w:rsidRDefault="0081532D" w:rsidP="0081532D">
      <w:pPr>
        <w:pStyle w:val="HTMLPreformatted"/>
        <w:rPr>
          <w:rStyle w:val="HTMLCode"/>
        </w:rPr>
      </w:pPr>
    </w:p>
    <w:p w14:paraId="31764190" w14:textId="77777777" w:rsidR="0081532D" w:rsidRDefault="0081532D" w:rsidP="0081532D">
      <w:pPr>
        <w:pStyle w:val="HTMLPreformatted"/>
        <w:rPr>
          <w:rStyle w:val="HTMLCode"/>
        </w:rPr>
      </w:pPr>
      <w:r>
        <w:rPr>
          <w:rStyle w:val="HTMLCode"/>
        </w:rPr>
        <w:t># Step 3: Export back to FlowJo v10 format</w:t>
      </w:r>
    </w:p>
    <w:p w14:paraId="20BDF98C" w14:textId="77777777" w:rsidR="0081532D" w:rsidRDefault="0081532D" w:rsidP="0081532D">
      <w:pPr>
        <w:pStyle w:val="HTMLPreformatted"/>
      </w:pPr>
      <w:r>
        <w:rPr>
          <w:rStyle w:val="HTMLCode"/>
        </w:rPr>
        <w:t>export_flowjo10_workspace(gs, output_path = ".", workspace_name = "exported")</w:t>
      </w:r>
    </w:p>
    <w:p w14:paraId="33BCE531" w14:textId="42E06621" w:rsidR="0081532D" w:rsidRDefault="0081532D" w:rsidP="001F2645">
      <w:pPr>
        <w:pStyle w:val="NormalWeb"/>
      </w:pPr>
      <w:r>
        <w:t xml:space="preserve">The </w:t>
      </w:r>
      <w:r>
        <w:rPr>
          <w:rStyle w:val="HTMLCode"/>
        </w:rPr>
        <w:t>read_flowjo11_workspace()</w:t>
      </w:r>
      <w:r>
        <w:t xml:space="preserve"> function parses the ZIP archive and extracts the JSON workspace structure. The </w:t>
      </w:r>
      <w:r>
        <w:rPr>
          <w:rStyle w:val="HTMLCode"/>
        </w:rPr>
        <w:t>fj11_to_gatingset()</w:t>
      </w:r>
      <w:r>
        <w:t xml:space="preserve"> function locates FCS files, applies the compensation matrix, maps transformations, and constructs a named list of per-sample GatingSet objects, preserving any sample-specific gate variations from FlowJo v11's tailored gate mechanism. Because certain properties — including per-sample gate adjustments and transformation parameters — can differ between samples, the result is a list rather than a single merged GatingSet. Users can combine samples for downstream analysis using </w:t>
      </w:r>
      <w:r>
        <w:rPr>
          <w:rStyle w:val="HTMLCode"/>
        </w:rPr>
        <w:t>flowWorkspace::merge_list_to_gs()</w:t>
      </w:r>
      <w:r>
        <w:t xml:space="preserve">, with the understanding that this step may discard per-sample variation. The </w:t>
      </w:r>
      <w:r>
        <w:rPr>
          <w:rStyle w:val="HTMLCode"/>
        </w:rPr>
        <w:t>export_flowjo10_workspace()</w:t>
      </w:r>
      <w:r>
        <w:t xml:space="preserve"> function generates Gating-ML 2.0–compliant XML that FlowJo v11 can open.</w:t>
      </w:r>
      <w:r w:rsidR="00EA6799">
        <w:t xml:space="preserve"> </w:t>
      </w:r>
      <w:r>
        <w:t>Supported Features</w:t>
      </w:r>
    </w:p>
    <w:p w14:paraId="70B14BB6" w14:textId="77777777" w:rsidR="0081532D" w:rsidRDefault="0081532D" w:rsidP="0081532D">
      <w:pPr>
        <w:pStyle w:val="NormalWeb"/>
      </w:pPr>
      <w:r>
        <w:t>Table 1 summarizes the gate types and transformation functions supported by CyFj11 for import and export operations. All types supported on import can be inspected and reanalyzed in R; the export column indicates whether that type can be written back to a v10 workspace.</w:t>
      </w:r>
    </w:p>
    <w:p w14:paraId="5CB266D2" w14:textId="77777777" w:rsidR="0081532D" w:rsidRDefault="0081532D" w:rsidP="0081532D">
      <w:pPr>
        <w:pStyle w:val="NormalWeb"/>
      </w:pPr>
      <w:r>
        <w:rPr>
          <w:rStyle w:val="Strong"/>
        </w:rPr>
        <w:t>Table 1. Gate types and transformations supported by CyFj11.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1907"/>
        <w:gridCol w:w="1909"/>
      </w:tblGrid>
      <w:tr w:rsidR="0081532D" w14:paraId="1B40BD77" w14:textId="77777777">
        <w:trPr>
          <w:tblCellSpacing w:w="15" w:type="dxa"/>
        </w:trPr>
        <w:tc>
          <w:tcPr>
            <w:tcW w:w="0" w:type="auto"/>
            <w:vAlign w:val="center"/>
            <w:hideMark/>
          </w:tcPr>
          <w:p w14:paraId="431F8119" w14:textId="77777777" w:rsidR="0081532D" w:rsidRDefault="0081532D">
            <w:pPr>
              <w:pStyle w:val="NormalWeb"/>
              <w:jc w:val="center"/>
              <w:rPr>
                <w:b/>
                <w:bCs/>
              </w:rPr>
            </w:pPr>
            <w:r>
              <w:rPr>
                <w:b/>
                <w:bCs/>
              </w:rPr>
              <w:t>Feature</w:t>
            </w:r>
          </w:p>
        </w:tc>
        <w:tc>
          <w:tcPr>
            <w:tcW w:w="0" w:type="auto"/>
            <w:vAlign w:val="center"/>
            <w:hideMark/>
          </w:tcPr>
          <w:p w14:paraId="2AA86AC2" w14:textId="77777777" w:rsidR="0081532D" w:rsidRDefault="0081532D">
            <w:pPr>
              <w:pStyle w:val="NormalWeb"/>
              <w:jc w:val="center"/>
              <w:rPr>
                <w:b/>
                <w:bCs/>
              </w:rPr>
            </w:pPr>
            <w:r>
              <w:rPr>
                <w:b/>
                <w:bCs/>
              </w:rPr>
              <w:t>Import (v11 → R)</w:t>
            </w:r>
          </w:p>
        </w:tc>
        <w:tc>
          <w:tcPr>
            <w:tcW w:w="0" w:type="auto"/>
            <w:vAlign w:val="center"/>
            <w:hideMark/>
          </w:tcPr>
          <w:p w14:paraId="1A1463AE" w14:textId="77777777" w:rsidR="0081532D" w:rsidRDefault="0081532D">
            <w:pPr>
              <w:pStyle w:val="NormalWeb"/>
              <w:jc w:val="center"/>
              <w:rPr>
                <w:b/>
                <w:bCs/>
              </w:rPr>
            </w:pPr>
            <w:r>
              <w:rPr>
                <w:b/>
                <w:bCs/>
              </w:rPr>
              <w:t>Export (R → v10)</w:t>
            </w:r>
          </w:p>
        </w:tc>
      </w:tr>
      <w:tr w:rsidR="0081532D" w14:paraId="669E7547" w14:textId="77777777">
        <w:trPr>
          <w:tblCellSpacing w:w="15" w:type="dxa"/>
        </w:trPr>
        <w:tc>
          <w:tcPr>
            <w:tcW w:w="0" w:type="auto"/>
            <w:vAlign w:val="center"/>
            <w:hideMark/>
          </w:tcPr>
          <w:p w14:paraId="1DB13B00" w14:textId="77777777" w:rsidR="0081532D" w:rsidRDefault="0081532D">
            <w:pPr>
              <w:pStyle w:val="NormalWeb"/>
            </w:pPr>
            <w:r>
              <w:rPr>
                <w:rStyle w:val="Strong"/>
              </w:rPr>
              <w:t>Gate types</w:t>
            </w:r>
          </w:p>
        </w:tc>
        <w:tc>
          <w:tcPr>
            <w:tcW w:w="0" w:type="auto"/>
            <w:vAlign w:val="center"/>
            <w:hideMark/>
          </w:tcPr>
          <w:p w14:paraId="33312E64" w14:textId="77777777" w:rsidR="0081532D" w:rsidRDefault="0081532D"/>
        </w:tc>
        <w:tc>
          <w:tcPr>
            <w:tcW w:w="0" w:type="auto"/>
            <w:vAlign w:val="center"/>
            <w:hideMark/>
          </w:tcPr>
          <w:p w14:paraId="00CD7F6F" w14:textId="77777777" w:rsidR="0081532D" w:rsidRDefault="0081532D">
            <w:pPr>
              <w:rPr>
                <w:sz w:val="20"/>
              </w:rPr>
            </w:pPr>
          </w:p>
        </w:tc>
      </w:tr>
      <w:tr w:rsidR="0081532D" w14:paraId="12FD27FE" w14:textId="77777777">
        <w:trPr>
          <w:tblCellSpacing w:w="15" w:type="dxa"/>
        </w:trPr>
        <w:tc>
          <w:tcPr>
            <w:tcW w:w="0" w:type="auto"/>
            <w:vAlign w:val="center"/>
            <w:hideMark/>
          </w:tcPr>
          <w:p w14:paraId="68060839" w14:textId="77777777" w:rsidR="0081532D" w:rsidRDefault="0081532D">
            <w:pPr>
              <w:pStyle w:val="NormalWeb"/>
            </w:pPr>
            <w:r>
              <w:t>Rectangle (1D and 2D)</w:t>
            </w:r>
          </w:p>
        </w:tc>
        <w:tc>
          <w:tcPr>
            <w:tcW w:w="0" w:type="auto"/>
            <w:vAlign w:val="center"/>
            <w:hideMark/>
          </w:tcPr>
          <w:p w14:paraId="4A76596F" w14:textId="77777777" w:rsidR="0081532D" w:rsidRDefault="0081532D">
            <w:pPr>
              <w:pStyle w:val="NormalWeb"/>
            </w:pPr>
            <w:r>
              <w:t>Yes</w:t>
            </w:r>
          </w:p>
        </w:tc>
        <w:tc>
          <w:tcPr>
            <w:tcW w:w="0" w:type="auto"/>
            <w:vAlign w:val="center"/>
            <w:hideMark/>
          </w:tcPr>
          <w:p w14:paraId="3951D24A" w14:textId="77777777" w:rsidR="0081532D" w:rsidRDefault="0081532D">
            <w:pPr>
              <w:pStyle w:val="NormalWeb"/>
            </w:pPr>
            <w:r>
              <w:t>Yes</w:t>
            </w:r>
          </w:p>
        </w:tc>
      </w:tr>
      <w:tr w:rsidR="0081532D" w14:paraId="163F5C7D" w14:textId="77777777">
        <w:trPr>
          <w:tblCellSpacing w:w="15" w:type="dxa"/>
        </w:trPr>
        <w:tc>
          <w:tcPr>
            <w:tcW w:w="0" w:type="auto"/>
            <w:vAlign w:val="center"/>
            <w:hideMark/>
          </w:tcPr>
          <w:p w14:paraId="14F3FD37" w14:textId="77777777" w:rsidR="0081532D" w:rsidRDefault="0081532D">
            <w:pPr>
              <w:pStyle w:val="NormalWeb"/>
            </w:pPr>
            <w:r>
              <w:lastRenderedPageBreak/>
              <w:t>Polygon</w:t>
            </w:r>
          </w:p>
        </w:tc>
        <w:tc>
          <w:tcPr>
            <w:tcW w:w="0" w:type="auto"/>
            <w:vAlign w:val="center"/>
            <w:hideMark/>
          </w:tcPr>
          <w:p w14:paraId="6F45D476" w14:textId="77777777" w:rsidR="0081532D" w:rsidRDefault="0081532D">
            <w:pPr>
              <w:pStyle w:val="NormalWeb"/>
            </w:pPr>
            <w:r>
              <w:t>Yes</w:t>
            </w:r>
          </w:p>
        </w:tc>
        <w:tc>
          <w:tcPr>
            <w:tcW w:w="0" w:type="auto"/>
            <w:vAlign w:val="center"/>
            <w:hideMark/>
          </w:tcPr>
          <w:p w14:paraId="64F49685" w14:textId="77777777" w:rsidR="0081532D" w:rsidRDefault="0081532D">
            <w:pPr>
              <w:pStyle w:val="NormalWeb"/>
            </w:pPr>
            <w:r>
              <w:t>Yes</w:t>
            </w:r>
          </w:p>
        </w:tc>
      </w:tr>
      <w:tr w:rsidR="0081532D" w14:paraId="0F716152" w14:textId="77777777">
        <w:trPr>
          <w:tblCellSpacing w:w="15" w:type="dxa"/>
        </w:trPr>
        <w:tc>
          <w:tcPr>
            <w:tcW w:w="0" w:type="auto"/>
            <w:vAlign w:val="center"/>
            <w:hideMark/>
          </w:tcPr>
          <w:p w14:paraId="17CBD7AB" w14:textId="77777777" w:rsidR="0081532D" w:rsidRDefault="0081532D">
            <w:pPr>
              <w:pStyle w:val="NormalWeb"/>
            </w:pPr>
            <w:r>
              <w:t>Ellipsoid</w:t>
            </w:r>
          </w:p>
        </w:tc>
        <w:tc>
          <w:tcPr>
            <w:tcW w:w="0" w:type="auto"/>
            <w:vAlign w:val="center"/>
            <w:hideMark/>
          </w:tcPr>
          <w:p w14:paraId="021D6DB4" w14:textId="77777777" w:rsidR="0081532D" w:rsidRDefault="0081532D">
            <w:pPr>
              <w:pStyle w:val="NormalWeb"/>
            </w:pPr>
            <w:r>
              <w:t>Yes</w:t>
            </w:r>
          </w:p>
        </w:tc>
        <w:tc>
          <w:tcPr>
            <w:tcW w:w="0" w:type="auto"/>
            <w:vAlign w:val="center"/>
            <w:hideMark/>
          </w:tcPr>
          <w:p w14:paraId="3E0636CE" w14:textId="77777777" w:rsidR="0081532D" w:rsidRDefault="0081532D">
            <w:pPr>
              <w:pStyle w:val="NormalWeb"/>
            </w:pPr>
            <w:r>
              <w:t>Yes</w:t>
            </w:r>
          </w:p>
        </w:tc>
      </w:tr>
      <w:tr w:rsidR="0081532D" w14:paraId="5B975195" w14:textId="77777777">
        <w:trPr>
          <w:tblCellSpacing w:w="15" w:type="dxa"/>
        </w:trPr>
        <w:tc>
          <w:tcPr>
            <w:tcW w:w="0" w:type="auto"/>
            <w:vAlign w:val="center"/>
            <w:hideMark/>
          </w:tcPr>
          <w:p w14:paraId="0BAF4129" w14:textId="77777777" w:rsidR="0081532D" w:rsidRDefault="0081532D">
            <w:pPr>
              <w:pStyle w:val="NormalWeb"/>
            </w:pPr>
            <w:r>
              <w:t>Range (1D)</w:t>
            </w:r>
          </w:p>
        </w:tc>
        <w:tc>
          <w:tcPr>
            <w:tcW w:w="0" w:type="auto"/>
            <w:vAlign w:val="center"/>
            <w:hideMark/>
          </w:tcPr>
          <w:p w14:paraId="5D63887A" w14:textId="77777777" w:rsidR="0081532D" w:rsidRDefault="0081532D">
            <w:pPr>
              <w:pStyle w:val="NormalWeb"/>
            </w:pPr>
            <w:r>
              <w:t>Yes</w:t>
            </w:r>
          </w:p>
        </w:tc>
        <w:tc>
          <w:tcPr>
            <w:tcW w:w="0" w:type="auto"/>
            <w:vAlign w:val="center"/>
            <w:hideMark/>
          </w:tcPr>
          <w:p w14:paraId="4E778E34" w14:textId="517A7BCC" w:rsidR="0081532D" w:rsidRDefault="0081532D">
            <w:pPr>
              <w:pStyle w:val="NormalWeb"/>
            </w:pPr>
            <w:r>
              <w:t>No</w:t>
            </w:r>
            <w:r w:rsidR="000C7AFF">
              <w:t xml:space="preserve"> </w:t>
            </w:r>
            <w:r w:rsidRPr="000C7AFF">
              <w:rPr>
                <w:vertAlign w:val="superscript"/>
              </w:rPr>
              <w:t>a</w:t>
            </w:r>
          </w:p>
        </w:tc>
      </w:tr>
      <w:tr w:rsidR="0081532D" w14:paraId="61ED15E8" w14:textId="77777777">
        <w:trPr>
          <w:tblCellSpacing w:w="15" w:type="dxa"/>
        </w:trPr>
        <w:tc>
          <w:tcPr>
            <w:tcW w:w="0" w:type="auto"/>
            <w:vAlign w:val="center"/>
            <w:hideMark/>
          </w:tcPr>
          <w:p w14:paraId="5721A229" w14:textId="77777777" w:rsidR="0081532D" w:rsidRDefault="0081532D">
            <w:pPr>
              <w:pStyle w:val="NormalWeb"/>
            </w:pPr>
            <w:r>
              <w:t>Quadrant</w:t>
            </w:r>
          </w:p>
        </w:tc>
        <w:tc>
          <w:tcPr>
            <w:tcW w:w="0" w:type="auto"/>
            <w:vAlign w:val="center"/>
            <w:hideMark/>
          </w:tcPr>
          <w:p w14:paraId="4056E15A" w14:textId="77777777" w:rsidR="0081532D" w:rsidRDefault="0081532D">
            <w:pPr>
              <w:pStyle w:val="NormalWeb"/>
            </w:pPr>
            <w:r>
              <w:t>Yes</w:t>
            </w:r>
          </w:p>
        </w:tc>
        <w:tc>
          <w:tcPr>
            <w:tcW w:w="0" w:type="auto"/>
            <w:vAlign w:val="center"/>
            <w:hideMark/>
          </w:tcPr>
          <w:p w14:paraId="60100718" w14:textId="51875FFE" w:rsidR="0081532D" w:rsidRDefault="0081532D">
            <w:pPr>
              <w:pStyle w:val="NormalWeb"/>
            </w:pPr>
            <w:r>
              <w:t>No</w:t>
            </w:r>
            <w:r w:rsidR="000C7AFF">
              <w:t xml:space="preserve"> </w:t>
            </w:r>
            <w:r w:rsidRPr="000C7AFF">
              <w:rPr>
                <w:vertAlign w:val="superscript"/>
              </w:rPr>
              <w:t>b</w:t>
            </w:r>
          </w:p>
        </w:tc>
      </w:tr>
      <w:tr w:rsidR="0081532D" w14:paraId="3865445E" w14:textId="77777777">
        <w:trPr>
          <w:tblCellSpacing w:w="15" w:type="dxa"/>
        </w:trPr>
        <w:tc>
          <w:tcPr>
            <w:tcW w:w="0" w:type="auto"/>
            <w:vAlign w:val="center"/>
            <w:hideMark/>
          </w:tcPr>
          <w:p w14:paraId="5F6E5E97" w14:textId="77777777" w:rsidR="0081532D" w:rsidRDefault="0081532D">
            <w:pPr>
              <w:pStyle w:val="NormalWeb"/>
            </w:pPr>
            <w:r>
              <w:t>Boolean (AND/OR/NOT)</w:t>
            </w:r>
          </w:p>
        </w:tc>
        <w:tc>
          <w:tcPr>
            <w:tcW w:w="0" w:type="auto"/>
            <w:vAlign w:val="center"/>
            <w:hideMark/>
          </w:tcPr>
          <w:p w14:paraId="282FA39E" w14:textId="77777777" w:rsidR="0081532D" w:rsidRDefault="0081532D">
            <w:pPr>
              <w:pStyle w:val="NormalWeb"/>
            </w:pPr>
            <w:r>
              <w:t>Yes</w:t>
            </w:r>
          </w:p>
        </w:tc>
        <w:tc>
          <w:tcPr>
            <w:tcW w:w="0" w:type="auto"/>
            <w:vAlign w:val="center"/>
            <w:hideMark/>
          </w:tcPr>
          <w:p w14:paraId="46A4B94B" w14:textId="77777777" w:rsidR="0081532D" w:rsidRDefault="0081532D">
            <w:pPr>
              <w:pStyle w:val="NormalWeb"/>
            </w:pPr>
            <w:r>
              <w:t>Yes</w:t>
            </w:r>
          </w:p>
        </w:tc>
      </w:tr>
      <w:tr w:rsidR="0081532D" w14:paraId="5FAD9FA7" w14:textId="77777777">
        <w:trPr>
          <w:tblCellSpacing w:w="15" w:type="dxa"/>
        </w:trPr>
        <w:tc>
          <w:tcPr>
            <w:tcW w:w="0" w:type="auto"/>
            <w:vAlign w:val="center"/>
            <w:hideMark/>
          </w:tcPr>
          <w:p w14:paraId="1FFCA6FD" w14:textId="77777777" w:rsidR="0081532D" w:rsidRDefault="0081532D">
            <w:pPr>
              <w:pStyle w:val="NormalWeb"/>
            </w:pPr>
            <w:r>
              <w:rPr>
                <w:rStyle w:val="Strong"/>
              </w:rPr>
              <w:t>Transformations</w:t>
            </w:r>
          </w:p>
        </w:tc>
        <w:tc>
          <w:tcPr>
            <w:tcW w:w="0" w:type="auto"/>
            <w:vAlign w:val="center"/>
            <w:hideMark/>
          </w:tcPr>
          <w:p w14:paraId="3A9EED69" w14:textId="77777777" w:rsidR="0081532D" w:rsidRDefault="0081532D"/>
        </w:tc>
        <w:tc>
          <w:tcPr>
            <w:tcW w:w="0" w:type="auto"/>
            <w:vAlign w:val="center"/>
            <w:hideMark/>
          </w:tcPr>
          <w:p w14:paraId="7E06A324" w14:textId="77777777" w:rsidR="0081532D" w:rsidRDefault="0081532D">
            <w:pPr>
              <w:rPr>
                <w:sz w:val="20"/>
              </w:rPr>
            </w:pPr>
          </w:p>
        </w:tc>
      </w:tr>
      <w:tr w:rsidR="0081532D" w14:paraId="2E37B916" w14:textId="77777777">
        <w:trPr>
          <w:tblCellSpacing w:w="15" w:type="dxa"/>
        </w:trPr>
        <w:tc>
          <w:tcPr>
            <w:tcW w:w="0" w:type="auto"/>
            <w:vAlign w:val="center"/>
            <w:hideMark/>
          </w:tcPr>
          <w:p w14:paraId="22D2A203" w14:textId="77777777" w:rsidR="0081532D" w:rsidRDefault="0081532D">
            <w:pPr>
              <w:pStyle w:val="NormalWeb"/>
            </w:pPr>
            <w:r>
              <w:t>Biexponential (biexp)</w:t>
            </w:r>
          </w:p>
        </w:tc>
        <w:tc>
          <w:tcPr>
            <w:tcW w:w="0" w:type="auto"/>
            <w:vAlign w:val="center"/>
            <w:hideMark/>
          </w:tcPr>
          <w:p w14:paraId="059E067D" w14:textId="77777777" w:rsidR="0081532D" w:rsidRDefault="0081532D">
            <w:pPr>
              <w:pStyle w:val="NormalWeb"/>
            </w:pPr>
            <w:r>
              <w:t>Yes</w:t>
            </w:r>
          </w:p>
        </w:tc>
        <w:tc>
          <w:tcPr>
            <w:tcW w:w="0" w:type="auto"/>
            <w:vAlign w:val="center"/>
            <w:hideMark/>
          </w:tcPr>
          <w:p w14:paraId="1A6BA222" w14:textId="77777777" w:rsidR="0081532D" w:rsidRDefault="0081532D">
            <w:pPr>
              <w:pStyle w:val="NormalWeb"/>
            </w:pPr>
            <w:r>
              <w:t>Yes</w:t>
            </w:r>
          </w:p>
        </w:tc>
      </w:tr>
      <w:tr w:rsidR="0081532D" w14:paraId="6B73329B" w14:textId="77777777">
        <w:trPr>
          <w:tblCellSpacing w:w="15" w:type="dxa"/>
        </w:trPr>
        <w:tc>
          <w:tcPr>
            <w:tcW w:w="0" w:type="auto"/>
            <w:vAlign w:val="center"/>
            <w:hideMark/>
          </w:tcPr>
          <w:p w14:paraId="2AC44674" w14:textId="77777777" w:rsidR="0081532D" w:rsidRDefault="0081532D">
            <w:pPr>
              <w:pStyle w:val="NormalWeb"/>
            </w:pPr>
            <w:r>
              <w:t>Logicle</w:t>
            </w:r>
          </w:p>
        </w:tc>
        <w:tc>
          <w:tcPr>
            <w:tcW w:w="0" w:type="auto"/>
            <w:vAlign w:val="center"/>
            <w:hideMark/>
          </w:tcPr>
          <w:p w14:paraId="46CF923A" w14:textId="77777777" w:rsidR="0081532D" w:rsidRDefault="0081532D">
            <w:pPr>
              <w:pStyle w:val="NormalWeb"/>
            </w:pPr>
            <w:r>
              <w:t>Yes</w:t>
            </w:r>
          </w:p>
        </w:tc>
        <w:tc>
          <w:tcPr>
            <w:tcW w:w="0" w:type="auto"/>
            <w:vAlign w:val="center"/>
            <w:hideMark/>
          </w:tcPr>
          <w:p w14:paraId="24299CDB" w14:textId="77777777" w:rsidR="0081532D" w:rsidRDefault="0081532D">
            <w:pPr>
              <w:pStyle w:val="NormalWeb"/>
            </w:pPr>
            <w:r>
              <w:t>Yes</w:t>
            </w:r>
          </w:p>
        </w:tc>
      </w:tr>
      <w:tr w:rsidR="0081532D" w14:paraId="29320AB0" w14:textId="77777777">
        <w:trPr>
          <w:tblCellSpacing w:w="15" w:type="dxa"/>
        </w:trPr>
        <w:tc>
          <w:tcPr>
            <w:tcW w:w="0" w:type="auto"/>
            <w:vAlign w:val="center"/>
            <w:hideMark/>
          </w:tcPr>
          <w:p w14:paraId="3D69553A" w14:textId="77777777" w:rsidR="0081532D" w:rsidRDefault="0081532D">
            <w:pPr>
              <w:pStyle w:val="NormalWeb"/>
            </w:pPr>
            <w:r>
              <w:t>Log</w:t>
            </w:r>
          </w:p>
        </w:tc>
        <w:tc>
          <w:tcPr>
            <w:tcW w:w="0" w:type="auto"/>
            <w:vAlign w:val="center"/>
            <w:hideMark/>
          </w:tcPr>
          <w:p w14:paraId="0CF761B9" w14:textId="77777777" w:rsidR="0081532D" w:rsidRDefault="0081532D">
            <w:pPr>
              <w:pStyle w:val="NormalWeb"/>
            </w:pPr>
            <w:r>
              <w:t>Yes</w:t>
            </w:r>
          </w:p>
        </w:tc>
        <w:tc>
          <w:tcPr>
            <w:tcW w:w="0" w:type="auto"/>
            <w:vAlign w:val="center"/>
            <w:hideMark/>
          </w:tcPr>
          <w:p w14:paraId="096CACE9" w14:textId="77777777" w:rsidR="0081532D" w:rsidRDefault="0081532D">
            <w:pPr>
              <w:pStyle w:val="NormalWeb"/>
            </w:pPr>
            <w:r>
              <w:t>Yes</w:t>
            </w:r>
          </w:p>
        </w:tc>
      </w:tr>
      <w:tr w:rsidR="0081532D" w14:paraId="50B3ACDD" w14:textId="77777777">
        <w:trPr>
          <w:tblCellSpacing w:w="15" w:type="dxa"/>
        </w:trPr>
        <w:tc>
          <w:tcPr>
            <w:tcW w:w="0" w:type="auto"/>
            <w:vAlign w:val="center"/>
            <w:hideMark/>
          </w:tcPr>
          <w:p w14:paraId="7FD0C392" w14:textId="77777777" w:rsidR="0081532D" w:rsidRDefault="0081532D">
            <w:pPr>
              <w:pStyle w:val="NormalWeb"/>
            </w:pPr>
            <w:r>
              <w:t>Arcsinh (fasinh)</w:t>
            </w:r>
          </w:p>
        </w:tc>
        <w:tc>
          <w:tcPr>
            <w:tcW w:w="0" w:type="auto"/>
            <w:vAlign w:val="center"/>
            <w:hideMark/>
          </w:tcPr>
          <w:p w14:paraId="06EBBCBE" w14:textId="12D6F3CE" w:rsidR="0081532D" w:rsidRDefault="00D5007F">
            <w:pPr>
              <w:pStyle w:val="NormalWeb"/>
            </w:pPr>
            <w:r>
              <w:t>NA</w:t>
            </w:r>
            <w:r w:rsidRPr="00D5007F">
              <w:rPr>
                <w:vertAlign w:val="superscript"/>
              </w:rPr>
              <w:t>c</w:t>
            </w:r>
          </w:p>
        </w:tc>
        <w:tc>
          <w:tcPr>
            <w:tcW w:w="0" w:type="auto"/>
            <w:vAlign w:val="center"/>
            <w:hideMark/>
          </w:tcPr>
          <w:p w14:paraId="1CB46C83" w14:textId="77777777" w:rsidR="0081532D" w:rsidRDefault="0081532D">
            <w:pPr>
              <w:pStyle w:val="NormalWeb"/>
            </w:pPr>
            <w:r>
              <w:t>Yes</w:t>
            </w:r>
          </w:p>
        </w:tc>
      </w:tr>
      <w:tr w:rsidR="0081532D" w14:paraId="2003B27A" w14:textId="77777777">
        <w:trPr>
          <w:tblCellSpacing w:w="15" w:type="dxa"/>
        </w:trPr>
        <w:tc>
          <w:tcPr>
            <w:tcW w:w="0" w:type="auto"/>
            <w:vAlign w:val="center"/>
            <w:hideMark/>
          </w:tcPr>
          <w:p w14:paraId="17FB7ADF" w14:textId="77777777" w:rsidR="0081532D" w:rsidRDefault="0081532D">
            <w:pPr>
              <w:pStyle w:val="NormalWeb"/>
            </w:pPr>
            <w:r>
              <w:t>Linear</w:t>
            </w:r>
          </w:p>
        </w:tc>
        <w:tc>
          <w:tcPr>
            <w:tcW w:w="0" w:type="auto"/>
            <w:vAlign w:val="center"/>
            <w:hideMark/>
          </w:tcPr>
          <w:p w14:paraId="25A575A9" w14:textId="77777777" w:rsidR="0081532D" w:rsidRDefault="0081532D">
            <w:pPr>
              <w:pStyle w:val="NormalWeb"/>
            </w:pPr>
            <w:r>
              <w:t>Yes</w:t>
            </w:r>
          </w:p>
        </w:tc>
        <w:tc>
          <w:tcPr>
            <w:tcW w:w="0" w:type="auto"/>
            <w:vAlign w:val="center"/>
            <w:hideMark/>
          </w:tcPr>
          <w:p w14:paraId="579F9428" w14:textId="77777777" w:rsidR="0081532D" w:rsidRDefault="0081532D">
            <w:pPr>
              <w:pStyle w:val="NormalWeb"/>
            </w:pPr>
            <w:r>
              <w:t>Yes</w:t>
            </w:r>
          </w:p>
        </w:tc>
      </w:tr>
      <w:tr w:rsidR="0081532D" w14:paraId="7DE95F1B" w14:textId="77777777">
        <w:trPr>
          <w:tblCellSpacing w:w="15" w:type="dxa"/>
        </w:trPr>
        <w:tc>
          <w:tcPr>
            <w:tcW w:w="0" w:type="auto"/>
            <w:vAlign w:val="center"/>
            <w:hideMark/>
          </w:tcPr>
          <w:p w14:paraId="48E2B408" w14:textId="77777777" w:rsidR="0081532D" w:rsidRDefault="0081532D">
            <w:pPr>
              <w:pStyle w:val="NormalWeb"/>
            </w:pPr>
            <w:r>
              <w:rPr>
                <w:rStyle w:val="Strong"/>
              </w:rPr>
              <w:t>Other</w:t>
            </w:r>
          </w:p>
        </w:tc>
        <w:tc>
          <w:tcPr>
            <w:tcW w:w="0" w:type="auto"/>
            <w:vAlign w:val="center"/>
            <w:hideMark/>
          </w:tcPr>
          <w:p w14:paraId="3C217C36" w14:textId="77777777" w:rsidR="0081532D" w:rsidRDefault="0081532D"/>
        </w:tc>
        <w:tc>
          <w:tcPr>
            <w:tcW w:w="0" w:type="auto"/>
            <w:vAlign w:val="center"/>
            <w:hideMark/>
          </w:tcPr>
          <w:p w14:paraId="6BA6ED45" w14:textId="77777777" w:rsidR="0081532D" w:rsidRDefault="0081532D">
            <w:pPr>
              <w:rPr>
                <w:sz w:val="20"/>
              </w:rPr>
            </w:pPr>
          </w:p>
        </w:tc>
      </w:tr>
      <w:tr w:rsidR="0081532D" w14:paraId="7B9D5C4A" w14:textId="77777777">
        <w:trPr>
          <w:tblCellSpacing w:w="15" w:type="dxa"/>
        </w:trPr>
        <w:tc>
          <w:tcPr>
            <w:tcW w:w="0" w:type="auto"/>
            <w:vAlign w:val="center"/>
            <w:hideMark/>
          </w:tcPr>
          <w:p w14:paraId="7CF2965A" w14:textId="77777777" w:rsidR="0081532D" w:rsidRDefault="0081532D">
            <w:pPr>
              <w:pStyle w:val="NormalWeb"/>
            </w:pPr>
            <w:r>
              <w:t>Compensation matrix</w:t>
            </w:r>
          </w:p>
        </w:tc>
        <w:tc>
          <w:tcPr>
            <w:tcW w:w="0" w:type="auto"/>
            <w:vAlign w:val="center"/>
            <w:hideMark/>
          </w:tcPr>
          <w:p w14:paraId="017EEB2B" w14:textId="77777777" w:rsidR="0081532D" w:rsidRDefault="0081532D">
            <w:pPr>
              <w:pStyle w:val="NormalWeb"/>
            </w:pPr>
            <w:r>
              <w:t>Yes</w:t>
            </w:r>
          </w:p>
        </w:tc>
        <w:tc>
          <w:tcPr>
            <w:tcW w:w="0" w:type="auto"/>
            <w:vAlign w:val="center"/>
            <w:hideMark/>
          </w:tcPr>
          <w:p w14:paraId="7D107675" w14:textId="77777777" w:rsidR="0081532D" w:rsidRDefault="0081532D">
            <w:pPr>
              <w:pStyle w:val="NormalWeb"/>
            </w:pPr>
            <w:r>
              <w:t>Yes</w:t>
            </w:r>
          </w:p>
        </w:tc>
      </w:tr>
      <w:tr w:rsidR="0081532D" w14:paraId="5A21B44B" w14:textId="77777777">
        <w:trPr>
          <w:tblCellSpacing w:w="15" w:type="dxa"/>
        </w:trPr>
        <w:tc>
          <w:tcPr>
            <w:tcW w:w="0" w:type="auto"/>
            <w:vAlign w:val="center"/>
            <w:hideMark/>
          </w:tcPr>
          <w:p w14:paraId="5EEA7CF0" w14:textId="77777777" w:rsidR="0081532D" w:rsidRDefault="0081532D">
            <w:pPr>
              <w:pStyle w:val="NormalWeb"/>
            </w:pPr>
            <w:r>
              <w:t>Per-sample (tailored) gates</w:t>
            </w:r>
          </w:p>
        </w:tc>
        <w:tc>
          <w:tcPr>
            <w:tcW w:w="0" w:type="auto"/>
            <w:vAlign w:val="center"/>
            <w:hideMark/>
          </w:tcPr>
          <w:p w14:paraId="64C7FF57" w14:textId="77777777" w:rsidR="0081532D" w:rsidRDefault="0081532D">
            <w:pPr>
              <w:pStyle w:val="NormalWeb"/>
            </w:pPr>
            <w:r>
              <w:t>Yes</w:t>
            </w:r>
          </w:p>
        </w:tc>
        <w:tc>
          <w:tcPr>
            <w:tcW w:w="0" w:type="auto"/>
            <w:vAlign w:val="center"/>
            <w:hideMark/>
          </w:tcPr>
          <w:p w14:paraId="679BABFB" w14:textId="3B3A7E6F" w:rsidR="0081532D" w:rsidRDefault="0081532D">
            <w:pPr>
              <w:pStyle w:val="NormalWeb"/>
            </w:pPr>
            <w:r>
              <w:t>Merged to group</w:t>
            </w:r>
            <w:r w:rsidR="000C7AFF">
              <w:t xml:space="preserve"> </w:t>
            </w:r>
            <w:r w:rsidR="00D5007F">
              <w:rPr>
                <w:vertAlign w:val="superscript"/>
              </w:rPr>
              <w:t>d</w:t>
            </w:r>
          </w:p>
        </w:tc>
      </w:tr>
      <w:tr w:rsidR="0081532D" w14:paraId="02B014AD" w14:textId="77777777">
        <w:trPr>
          <w:tblCellSpacing w:w="15" w:type="dxa"/>
        </w:trPr>
        <w:tc>
          <w:tcPr>
            <w:tcW w:w="0" w:type="auto"/>
            <w:vAlign w:val="center"/>
            <w:hideMark/>
          </w:tcPr>
          <w:p w14:paraId="5A0E819A" w14:textId="77777777" w:rsidR="0081532D" w:rsidRDefault="0081532D">
            <w:pPr>
              <w:pStyle w:val="NormalWeb"/>
            </w:pPr>
            <w:r>
              <w:t>Sample keywords / metadata</w:t>
            </w:r>
          </w:p>
        </w:tc>
        <w:tc>
          <w:tcPr>
            <w:tcW w:w="0" w:type="auto"/>
            <w:vAlign w:val="center"/>
            <w:hideMark/>
          </w:tcPr>
          <w:p w14:paraId="798EE169" w14:textId="77777777" w:rsidR="0081532D" w:rsidRDefault="0081532D">
            <w:pPr>
              <w:pStyle w:val="NormalWeb"/>
            </w:pPr>
            <w:r>
              <w:t>Yes</w:t>
            </w:r>
          </w:p>
        </w:tc>
        <w:tc>
          <w:tcPr>
            <w:tcW w:w="0" w:type="auto"/>
            <w:vAlign w:val="center"/>
            <w:hideMark/>
          </w:tcPr>
          <w:p w14:paraId="796A6BA2" w14:textId="77777777" w:rsidR="0081532D" w:rsidRDefault="0081532D">
            <w:pPr>
              <w:pStyle w:val="NormalWeb"/>
            </w:pPr>
            <w:r>
              <w:t>Yes</w:t>
            </w:r>
          </w:p>
        </w:tc>
      </w:tr>
    </w:tbl>
    <w:p w14:paraId="3815D6D6" w14:textId="3FB3DC07" w:rsidR="0081532D" w:rsidRDefault="0081532D" w:rsidP="0081532D">
      <w:pPr>
        <w:pStyle w:val="NormalWeb"/>
      </w:pPr>
      <w:r>
        <w:rPr>
          <w:vertAlign w:val="superscript"/>
        </w:rPr>
        <w:t>a</w:t>
      </w:r>
      <w:r>
        <w:t xml:space="preserve"> Range gates are converted to 1D rectangle gates on export. </w:t>
      </w:r>
      <w:r>
        <w:rPr>
          <w:vertAlign w:val="superscript"/>
        </w:rPr>
        <w:t>b</w:t>
      </w:r>
      <w:r>
        <w:t xml:space="preserve"> Quadrant gates have no direct v10 equivalent and are excluded from export with a warning.</w:t>
      </w:r>
      <w:r w:rsidR="00D5007F">
        <w:t xml:space="preserve"> </w:t>
      </w:r>
      <w:r w:rsidR="00D5007F" w:rsidRPr="00D5007F">
        <w:rPr>
          <w:vertAlign w:val="superscript"/>
        </w:rPr>
        <w:t>c</w:t>
      </w:r>
      <w:r w:rsidR="00D5007F">
        <w:t xml:space="preserve"> </w:t>
      </w:r>
      <w:r w:rsidR="00D5007F" w:rsidRPr="00D5007F">
        <w:t>FlowJo 11 natively supports three transformation types for gating and visualization: linear, logarithmic, and biexponential (BiEx). While alternative transformations such as inverse hyperbolic sine (arcsinh/fasinh) are supported in FlowJo 10</w:t>
      </w:r>
      <w:r w:rsidR="00F83312">
        <w:t xml:space="preserve">, </w:t>
      </w:r>
      <w:r w:rsidR="00F83312" w:rsidRPr="00D5007F">
        <w:t>FlowJo 11</w:t>
      </w:r>
      <w:r w:rsidR="00F83312">
        <w:t xml:space="preserve"> only</w:t>
      </w:r>
      <w:r w:rsidR="00D5007F" w:rsidRPr="00D5007F">
        <w:t xml:space="preserve"> partially recognize</w:t>
      </w:r>
      <w:r w:rsidR="00F83312">
        <w:t xml:space="preserve"> them (can read them, but the GUI cannot change any parameter)</w:t>
      </w:r>
      <w:r w:rsidR="00D5007F" w:rsidRPr="00D5007F">
        <w:t>.</w:t>
      </w:r>
      <w:r>
        <w:t xml:space="preserve"> </w:t>
      </w:r>
      <w:r w:rsidR="00D5007F" w:rsidRPr="00D5007F">
        <w:rPr>
          <w:vertAlign w:val="superscript"/>
        </w:rPr>
        <w:t>d</w:t>
      </w:r>
      <w:r>
        <w:t xml:space="preserve"> Per-sample gate variations are not expressible in v10 format; the group-level gate is used.</w:t>
      </w:r>
    </w:p>
    <w:p w14:paraId="38DFAD1B" w14:textId="77777777" w:rsidR="0081532D" w:rsidRDefault="0081532D" w:rsidP="00513B4B">
      <w:pPr>
        <w:pStyle w:val="Heading2"/>
      </w:pPr>
      <w:r>
        <w:t>Additional Functionality</w:t>
      </w:r>
    </w:p>
    <w:p w14:paraId="7800BBB9" w14:textId="284637E3" w:rsidR="0081532D" w:rsidRDefault="0081532D" w:rsidP="0081532D">
      <w:pPr>
        <w:pStyle w:val="NormalWeb"/>
      </w:pPr>
      <w:r>
        <w:t xml:space="preserve">In addition to core conversion functionality, CyFj11 provides utility functions for workspace inspection and debugging. The </w:t>
      </w:r>
      <w:r>
        <w:rPr>
          <w:rStyle w:val="HTMLCode"/>
        </w:rPr>
        <w:t>pretty_print_flowjo()</w:t>
      </w:r>
      <w:r>
        <w:t xml:space="preserve"> function extracts and formats the JSON content of a .flowjo file to a human-readable text file, which is useful for debugging and workspace inspection. Verbose logging can be enabled with </w:t>
      </w:r>
      <w:r>
        <w:rPr>
          <w:rStyle w:val="HTMLCode"/>
        </w:rPr>
        <w:t>set_verbose(TRUE)</w:t>
      </w:r>
      <w:r>
        <w:t xml:space="preserve"> to trace conversion steps during troubleshooting; the current verbosity state can be queried with </w:t>
      </w:r>
      <w:r>
        <w:rPr>
          <w:rStyle w:val="HTMLCode"/>
        </w:rPr>
        <w:t>get_verbose()</w:t>
      </w:r>
      <w:r>
        <w:t>.</w:t>
      </w:r>
      <w:r w:rsidR="001F2645">
        <w:t xml:space="preserve"> </w:t>
      </w:r>
      <w:r w:rsidR="001F2645" w:rsidRPr="001F2645">
        <w:t>The extract_flowjo_stats() function reads population counts and statistics from a FlowJo v10 .wsp file without requiring FCS data, providing a convenient way to extract gating results from existing workspaces..</w:t>
      </w:r>
    </w:p>
    <w:p w14:paraId="4F2E9D05" w14:textId="77777777" w:rsidR="0081532D" w:rsidRDefault="0081532D" w:rsidP="00513B4B">
      <w:pPr>
        <w:pStyle w:val="Heading2"/>
      </w:pPr>
      <w:r>
        <w:t>Installation</w:t>
      </w:r>
    </w:p>
    <w:p w14:paraId="5C592FC7" w14:textId="7418F189" w:rsidR="00E7239E" w:rsidRPr="00E7239E" w:rsidRDefault="00E7239E" w:rsidP="00E7239E">
      <w:pPr>
        <w:spacing w:before="100" w:beforeAutospacing="1" w:after="100" w:afterAutospacing="1"/>
        <w:rPr>
          <w:rFonts w:ascii="Times New Roman" w:hAnsi="Times New Roman"/>
          <w:sz w:val="24"/>
          <w:szCs w:val="24"/>
          <w:lang w:val="en-FR" w:eastAsia="en-GB"/>
        </w:rPr>
      </w:pPr>
      <w:r w:rsidRPr="00E7239E">
        <w:rPr>
          <w:rFonts w:ascii="Times New Roman" w:hAnsi="Times New Roman"/>
          <w:sz w:val="24"/>
          <w:szCs w:val="24"/>
          <w:lang w:val="en-FR" w:eastAsia="en-GB"/>
        </w:rPr>
        <w:t>CyFj11 requires R ≥ 4.3 and Bioconductor packages flowCore and flowWorkspace. The package is available from GitHub:</w:t>
      </w:r>
    </w:p>
    <w:p w14:paraId="648AC93F"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 Install devtools if needed</w:t>
      </w:r>
    </w:p>
    <w:p w14:paraId="3B575B91"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install.packages("devtools")</w:t>
      </w:r>
    </w:p>
    <w:p w14:paraId="21608FD0"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p>
    <w:p w14:paraId="1079D2A4"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 Install CyFj11 from GitHub</w:t>
      </w:r>
    </w:p>
    <w:p w14:paraId="2C929A46" w14:textId="006A5CF1"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devtools::install_github("C3BI-pasteur-fr/CyFj11")</w:t>
      </w:r>
    </w:p>
    <w:p w14:paraId="0F3527DB" w14:textId="77777777" w:rsidR="00E7239E" w:rsidRPr="00E7239E" w:rsidRDefault="00E7239E" w:rsidP="00E7239E">
      <w:pPr>
        <w:spacing w:before="100" w:beforeAutospacing="1" w:after="100" w:afterAutospacing="1"/>
        <w:rPr>
          <w:rFonts w:ascii="Times New Roman" w:hAnsi="Times New Roman"/>
          <w:sz w:val="24"/>
          <w:szCs w:val="24"/>
          <w:lang w:val="en-FR" w:eastAsia="en-GB"/>
        </w:rPr>
      </w:pPr>
      <w:r w:rsidRPr="00E7239E">
        <w:rPr>
          <w:rFonts w:ascii="Times New Roman" w:hAnsi="Times New Roman"/>
          <w:sz w:val="24"/>
          <w:szCs w:val="24"/>
          <w:lang w:val="en-FR" w:eastAsia="en-GB"/>
        </w:rPr>
        <w:lastRenderedPageBreak/>
        <w:t>A Bioconductor release is planned following peer review.</w:t>
      </w:r>
    </w:p>
    <w:p w14:paraId="0546A76C" w14:textId="77777777" w:rsidR="00E7239E" w:rsidRPr="00E7239E" w:rsidRDefault="00F065AE" w:rsidP="00E7239E">
      <w:pPr>
        <w:rPr>
          <w:rFonts w:ascii="Times New Roman" w:hAnsi="Times New Roman"/>
          <w:sz w:val="24"/>
          <w:szCs w:val="24"/>
          <w:lang w:val="en-FR" w:eastAsia="en-GB"/>
        </w:rPr>
      </w:pPr>
      <w:r w:rsidRPr="00F065AE">
        <w:rPr>
          <w:rFonts w:ascii="Times New Roman" w:hAnsi="Times New Roman"/>
          <w:noProof/>
          <w:sz w:val="24"/>
          <w:szCs w:val="24"/>
          <w:lang w:val="en-FR" w:eastAsia="en-GB"/>
        </w:rPr>
        <w:pict w14:anchorId="2D6158C4">
          <v:rect id="_x0000_i1039" alt="" style="width:451.3pt;height:.05pt;mso-width-percent:0;mso-height-percent:0;mso-width-percent:0;mso-height-percent:0" o:hralign="center" o:hrstd="t" o:hr="t" fillcolor="#a0a0a0" stroked="f"/>
        </w:pict>
      </w:r>
    </w:p>
    <w:p w14:paraId="74936860" w14:textId="77777777" w:rsidR="00513B4B" w:rsidRPr="00513B4B" w:rsidRDefault="00513B4B" w:rsidP="00513B4B">
      <w:pPr>
        <w:pStyle w:val="Heading1"/>
        <w:rPr>
          <w:rFonts w:ascii="Times New Roman" w:hAnsi="Times New Roman"/>
          <w:lang w:eastAsia="en-GB"/>
        </w:rPr>
      </w:pPr>
      <w:r>
        <w:t>Results</w:t>
      </w:r>
    </w:p>
    <w:p w14:paraId="6DAFFA49" w14:textId="77777777" w:rsidR="001F2645" w:rsidRPr="001F2645" w:rsidRDefault="001F2645" w:rsidP="001F2645">
      <w:pPr>
        <w:rPr>
          <w:lang w:val="en-FR"/>
        </w:rPr>
      </w:pPr>
      <w:r w:rsidRPr="001F2645">
        <w:rPr>
          <w:lang w:val="en-FR"/>
        </w:rPr>
        <w:t>5.1. Results Overview</w:t>
      </w:r>
    </w:p>
    <w:p w14:paraId="1321C054" w14:textId="77777777" w:rsidR="001F2645" w:rsidRPr="001F2645" w:rsidRDefault="001F2645" w:rsidP="001F2645">
      <w:pPr>
        <w:rPr>
          <w:lang w:val="en-FR"/>
        </w:rPr>
      </w:pPr>
      <w:r w:rsidRPr="001F2645">
        <w:rPr>
          <w:lang w:val="en-FR"/>
        </w:rPr>
        <w:t>CyFj11 was validated using 13 structured test scenarios designed to exercise all supported gate types and transformation types in isolation and in combination; full scenario descriptions are provided in Supplementary File 2. Gate types covered include rectangle, polygon, ellipsoid, range, quadrant, and boolean; transformation types include linear, biexponential, log, and arcsinh. Edge cases — hierarchical gating, boolean combinations, and mixed-transformation workflows — were explicitly represented. A fourteenth test (Test 14) used a real-world immunophenotyping dataset to validate the complete CytoML-to-CyFj11 pipeline and to assess compensation matrix export fidelity; it is described separately in Section 5.4.</w:t>
      </w:r>
    </w:p>
    <w:p w14:paraId="10DC0918" w14:textId="77777777" w:rsidR="001F2645" w:rsidRPr="001F2645" w:rsidRDefault="001F2645" w:rsidP="001F2645">
      <w:pPr>
        <w:rPr>
          <w:lang w:val="en-FR"/>
        </w:rPr>
      </w:pPr>
    </w:p>
    <w:p w14:paraId="6455A87F" w14:textId="404B24F5" w:rsidR="001F2645" w:rsidRPr="001F2645" w:rsidRDefault="001F2645" w:rsidP="001F2645">
      <w:pPr>
        <w:rPr>
          <w:lang w:val="en-FR"/>
        </w:rPr>
      </w:pPr>
      <w:r w:rsidRPr="001F2645">
        <w:rPr>
          <w:lang w:val="en-FR"/>
        </w:rPr>
        <w:t xml:space="preserve">For each of the 13 synthetic scenarios, FCS files were generated in R using flowCore and flowWorkspace, a GatingSet was constructed, and the result was exported to a FlowJo v10 (FJ10) workspace file via export_flowjo10_workspace(). Each exported file was opened in both FlowJo v10 and FlowJo v11 and population counts were compared against the R-derived ground truth. All source code, test workspaces, FCS files, and analysis scripts are deposited at </w:t>
      </w:r>
      <w:hyperlink r:id="rId13" w:history="1">
        <w:r w:rsidRPr="00FD1965">
          <w:rPr>
            <w:rStyle w:val="Hyperlink"/>
            <w:lang w:val="en-FR"/>
          </w:rPr>
          <w:t>https://doi.org/10.5281/zenodo.20933199</w:t>
        </w:r>
      </w:hyperlink>
      <w:r w:rsidRPr="001F2645">
        <w:rPr>
          <w:lang w:val="en-FR"/>
        </w:rPr>
        <w:t>. Test 14 uses the example dataset distributed with the FlowSOM R package (68983.fcs; van Gassen et al.) together with its included gating workspace (gating.wsp). Unlike tests 01–13, the GatingSet for test 14 was not constructed from scratch in R but imported from an existing FlowJo v10 workspace using CytoML::flowjo_to_gatingset() (path = test14/, subset = "68983.fcs"). The imported GatingSet was then re-exported using export_flowjo10_workspace(). This pipeline tests the CytoML → CyFj11 interoperability path and the preservation of compensation matrices through import and re-export. The FlowSOM package must be installed to reproduce this test (BiocManager::install("FlowSOM")).</w:t>
      </w:r>
    </w:p>
    <w:p w14:paraId="452DF49E" w14:textId="77777777" w:rsidR="001F2645" w:rsidRPr="001F2645" w:rsidRDefault="001F2645" w:rsidP="001F2645">
      <w:pPr>
        <w:rPr>
          <w:lang w:val="en-FR"/>
        </w:rPr>
      </w:pPr>
    </w:p>
    <w:p w14:paraId="0F0E1B22" w14:textId="77777777" w:rsidR="001F2645" w:rsidRPr="001F2645" w:rsidRDefault="001F2645" w:rsidP="001F2645">
      <w:pPr>
        <w:rPr>
          <w:lang w:val="en-FR"/>
        </w:rPr>
      </w:pPr>
      <w:r w:rsidRPr="001F2645">
        <w:rPr>
          <w:lang w:val="en-FR"/>
        </w:rPr>
        <w:t>FJ10 validation. Of the 20 populations included in the FJ10 comparison — excluding arcsinh-transformed and boolean gates for reasons documented in Section 5.2 — FlowJo v10 showed exact count agreement with R for 15 (75%), with the remaining five differing by at most 14 cells (maximum absolute difference: 0.30%). The mean absolute percentage difference across all 20 populations was 0.024%, confirming high export accuracy. Geometric fidelity was separately confirmed by extracting gate boundary coordinates from the exported XML: coordinates matched the original R definitions exactly across all transformation types tested (linear, biexponential, log, arcsinh). Minor visual discrepancies in gate positioning within the FlowJo interface may arise from platform-specific rendering of transform parameters but do not indicate coordinate errors in the exported XML.</w:t>
      </w:r>
    </w:p>
    <w:p w14:paraId="2B3390A3" w14:textId="77777777" w:rsidR="001F2645" w:rsidRPr="001F2645" w:rsidRDefault="001F2645" w:rsidP="001F2645">
      <w:pPr>
        <w:rPr>
          <w:lang w:val="en-FR"/>
        </w:rPr>
      </w:pPr>
    </w:p>
    <w:p w14:paraId="74409A46" w14:textId="77777777" w:rsidR="001F2645" w:rsidRPr="001F2645" w:rsidRDefault="001F2645" w:rsidP="001F2645">
      <w:pPr>
        <w:rPr>
          <w:lang w:val="en-FR"/>
        </w:rPr>
      </w:pPr>
      <w:r w:rsidRPr="001F2645">
        <w:rPr>
          <w:lang w:val="en-FR"/>
        </w:rPr>
        <w:t>5.2. FlowJo v11 Backward Compatibility Findings</w:t>
      </w:r>
    </w:p>
    <w:p w14:paraId="6D6B6032" w14:textId="77777777" w:rsidR="001F2645" w:rsidRPr="001F2645" w:rsidRDefault="001F2645" w:rsidP="001F2645">
      <w:pPr>
        <w:rPr>
          <w:lang w:val="en-FR"/>
        </w:rPr>
      </w:pPr>
      <w:r w:rsidRPr="001F2645">
        <w:rPr>
          <w:lang w:val="en-FR"/>
        </w:rPr>
        <w:t>Two systematic incompatibilities between CyFj11-generated v10 XML and FlowJo v11's import mechanism were identified during validation. Both are documented here before FJ11 count results are presented; in each case, the same exported XML produced correct results in FlowJo v10, confirming that the failures originate in FlowJo v11's v10 reader rather than in CyFj11.</w:t>
      </w:r>
    </w:p>
    <w:p w14:paraId="4B56463D" w14:textId="77777777" w:rsidR="001F2645" w:rsidRPr="001F2645" w:rsidRDefault="001F2645" w:rsidP="001F2645">
      <w:pPr>
        <w:rPr>
          <w:lang w:val="en-FR"/>
        </w:rPr>
      </w:pPr>
    </w:p>
    <w:p w14:paraId="47D1778A" w14:textId="77777777" w:rsidR="001F2645" w:rsidRPr="001F2645" w:rsidRDefault="001F2645" w:rsidP="001F2645">
      <w:pPr>
        <w:rPr>
          <w:lang w:val="en-FR"/>
        </w:rPr>
      </w:pPr>
      <w:r w:rsidRPr="001F2645">
        <w:rPr>
          <w:lang w:val="en-FR"/>
        </w:rPr>
        <w:t xml:space="preserve">Boolean gate import failure. Boolean gate definitions (AND, OR, NOT) embedded in v10 XML were not fully preserved on import into FlowJo v11 (tests 11–13). Affected gates </w:t>
      </w:r>
      <w:r w:rsidRPr="001F2645">
        <w:rPr>
          <w:lang w:val="en-FR"/>
        </w:rPr>
        <w:lastRenderedPageBreak/>
        <w:t>required manual reconstruction within FlowJo v11 and are excluded from the FJ11 count comparison; these exclusions are labeled in Supplementary Table S1.</w:t>
      </w:r>
    </w:p>
    <w:p w14:paraId="49E3B9C1" w14:textId="77777777" w:rsidR="001F2645" w:rsidRPr="001F2645" w:rsidRDefault="001F2645" w:rsidP="001F2645">
      <w:pPr>
        <w:rPr>
          <w:lang w:val="en-FR"/>
        </w:rPr>
      </w:pPr>
    </w:p>
    <w:p w14:paraId="405A0C09" w14:textId="77777777" w:rsidR="001F2645" w:rsidRPr="001F2645" w:rsidRDefault="001F2645" w:rsidP="001F2645">
      <w:pPr>
        <w:rPr>
          <w:lang w:val="en-FR"/>
        </w:rPr>
      </w:pPr>
      <w:r w:rsidRPr="001F2645">
        <w:rPr>
          <w:lang w:val="en-FR"/>
        </w:rPr>
        <w:t>Arcsinh transformation rendering failure. Arcsinh-transformed gates (tests 08, 11, and 13) were not correctly rendered by FlowJo v11 when loaded from v10 XML, yielding systematically incorrect population boundaries and counts. These are similarly excluded from the FJ11 comparison (Supplementary Table S1).</w:t>
      </w:r>
    </w:p>
    <w:p w14:paraId="598C96D3" w14:textId="77777777" w:rsidR="001F2645" w:rsidRPr="001F2645" w:rsidRDefault="001F2645" w:rsidP="001F2645">
      <w:pPr>
        <w:rPr>
          <w:lang w:val="en-FR"/>
        </w:rPr>
      </w:pPr>
    </w:p>
    <w:p w14:paraId="01830987" w14:textId="77777777" w:rsidR="001F2645" w:rsidRPr="001F2645" w:rsidRDefault="001F2645" w:rsidP="001F2645">
      <w:pPr>
        <w:rPr>
          <w:lang w:val="en-FR"/>
        </w:rPr>
      </w:pPr>
      <w:r w:rsidRPr="001F2645">
        <w:rPr>
          <w:lang w:val="en-FR"/>
        </w:rPr>
        <w:t>Import workaround. Direct import of CyFj11-exported v10 workspace files into FlowJo v11 was not always successful. Where import failed, the following procedure resolved most failures: the workspace was first re-saved from within FlowJo v10 (File &gt; Save As), and this re-saved file was then imported into FlowJo v11. Gates were subsequently verified within FlowJo v11 and manually corrected where necessary. Workspaces requiring substantial correction (tests 12 and 13) were saved in native v11 format (testNN.flowjo); workspaces requiring only minor verification were saved as testNN_export.llm.flowjo.</w:t>
      </w:r>
    </w:p>
    <w:p w14:paraId="1B113099" w14:textId="77777777" w:rsidR="001F2645" w:rsidRPr="001F2645" w:rsidRDefault="001F2645" w:rsidP="001F2645">
      <w:pPr>
        <w:rPr>
          <w:lang w:val="en-FR"/>
        </w:rPr>
      </w:pPr>
    </w:p>
    <w:p w14:paraId="7D822C08" w14:textId="77777777" w:rsidR="001F2645" w:rsidRPr="001F2645" w:rsidRDefault="001F2645" w:rsidP="001F2645">
      <w:pPr>
        <w:rPr>
          <w:lang w:val="en-FR"/>
        </w:rPr>
      </w:pPr>
      <w:r w:rsidRPr="001F2645">
        <w:rPr>
          <w:lang w:val="en-FR"/>
        </w:rPr>
        <w:t>FJ11 count comparison. FlowJo v11 showed considerably greater variability than FJ10 across the same 20-population comparison. Four populations (20%) were exactly reproduced and eleven (55%) differed by ≤0.3%. Five populations showed discrepancies exceeding 0.3%: test04 singlets (polygon gate, 49 cells, 0.65%), test05 ellipse_cells (ellipsoid gate, 202 cells, 2.77%), test10 SSC_gate (1D rectangle, 27 cells, 0.37%), test12 scatter_ellipse (ellipsoid gate, 87 cells, 0.89%), and test12 PE_hi (1D rectangle, log transform, 1799 cells, 47%). The PE_hi case warrants specific comment: it applies the same logarithmic transform as test07, which showed exact FJ11 agreement, suggesting an interaction between the transform parameterization and the specific workspace context in test12 rather than a general log-transform incompatibility. Manual gate verification and re-saving within FlowJo v11 restored the PE_hi count to the correct value (3831), confirming that the gate definition in the exported XML is correct and that the discrepancy arises at import time within FlowJo v11. The mean absolute percentage difference across the 19 populations excluding PE_hi was 0.29%; including PE_hi, the mean rises substantially and is dominated by this single anomalous case.</w:t>
      </w:r>
    </w:p>
    <w:p w14:paraId="05E01B12" w14:textId="77777777" w:rsidR="001F2645" w:rsidRPr="001F2645" w:rsidRDefault="001F2645" w:rsidP="001F2645">
      <w:pPr>
        <w:rPr>
          <w:lang w:val="en-FR"/>
        </w:rPr>
      </w:pPr>
    </w:p>
    <w:p w14:paraId="017B297B" w14:textId="77777777" w:rsidR="001F2645" w:rsidRPr="001F2645" w:rsidRDefault="001F2645" w:rsidP="001F2645">
      <w:pPr>
        <w:rPr>
          <w:lang w:val="en-FR"/>
        </w:rPr>
      </w:pPr>
      <w:r w:rsidRPr="001F2645">
        <w:rPr>
          <w:lang w:val="en-FR"/>
        </w:rPr>
        <w:t>Marker name parsing failure (Test 14). A further FJ11-specific incompatibility was identified in Test 14 (Section 5.4): FlowJo v11 failed to correctly parse the marker name "NK1_1+" when reading the CyFj11-exported v10 XML, causing cascading inaccessibility of all populations dependent on NK1_1+ and NK1_1− as parent gates. The same XML was opened without error in FlowJo v10 (count difference: 1 cell), confirming that the exported file is structurally correct and that the failure is FJ11-specific. Users whose marker panels include non-alphanumeric characters — particularly underscores combined with special characters or numerals in certain positions — should verify marker name resolution in FlowJo v11 after import and rename parameters if necessary. CyFj11 does not modify marker names during export; names are written exactly as they appear in the GatingSet parameter table.</w:t>
      </w:r>
    </w:p>
    <w:p w14:paraId="6CF3000A" w14:textId="77777777" w:rsidR="001F2645" w:rsidRPr="001F2645" w:rsidRDefault="001F2645" w:rsidP="001F2645">
      <w:pPr>
        <w:rPr>
          <w:lang w:val="en-FR"/>
        </w:rPr>
      </w:pPr>
    </w:p>
    <w:p w14:paraId="41556DDB" w14:textId="77777777" w:rsidR="001F2645" w:rsidRPr="001F2645" w:rsidRDefault="001F2645" w:rsidP="001F2645">
      <w:pPr>
        <w:rPr>
          <w:lang w:val="en-FR"/>
        </w:rPr>
      </w:pPr>
      <w:r w:rsidRPr="001F2645">
        <w:rPr>
          <w:lang w:val="en-FR"/>
        </w:rPr>
        <w:t>Table 2. Summary of Population Count Accuracy vs. R Ground Truth.</w:t>
      </w:r>
    </w:p>
    <w:p w14:paraId="056430EC" w14:textId="77777777" w:rsidR="001F2645" w:rsidRPr="001F2645" w:rsidRDefault="001F2645" w:rsidP="001F2645">
      <w:pPr>
        <w:rPr>
          <w:lang w:val="en-FR"/>
        </w:rPr>
      </w:pPr>
      <w:r w:rsidRPr="001F2645">
        <w:rPr>
          <w:lang w:val="en-FR"/>
        </w:rPr>
        <w:t>Tests 01–13: synthetic data (arcsinh and boolean gates excluded from FJ11 comparison; see Section 5.2). Test 14: real-world data (FlowSOM example); all populations included for FJ10; FJ11 populations affected by marker naming failure excluded.</w:t>
      </w:r>
    </w:p>
    <w:p w14:paraId="6FB57059" w14:textId="77777777" w:rsidR="001F2645" w:rsidRPr="001F2645" w:rsidRDefault="001F2645" w:rsidP="001F2645">
      <w:pPr>
        <w:rPr>
          <w:lang w:val="en-FR"/>
        </w:rPr>
      </w:pPr>
    </w:p>
    <w:p w14:paraId="1EA40364" w14:textId="77777777" w:rsidR="001F2645" w:rsidRPr="001F2645" w:rsidRDefault="001F2645" w:rsidP="001F2645">
      <w:pPr>
        <w:rPr>
          <w:lang w:val="en-FR"/>
        </w:rPr>
      </w:pPr>
      <w:r w:rsidRPr="001F2645">
        <w:rPr>
          <w:lang w:val="en-FR"/>
        </w:rPr>
        <w:t>Metric</w:t>
      </w:r>
      <w:r w:rsidRPr="001F2645">
        <w:rPr>
          <w:lang w:val="en-FR"/>
        </w:rPr>
        <w:tab/>
        <w:t>FJ10 (Tests 01–13)</w:t>
      </w:r>
      <w:r w:rsidRPr="001F2645">
        <w:rPr>
          <w:lang w:val="en-FR"/>
        </w:rPr>
        <w:tab/>
        <w:t>FJ11 (Tests 01–13)</w:t>
      </w:r>
      <w:r w:rsidRPr="001F2645">
        <w:rPr>
          <w:lang w:val="en-FR"/>
        </w:rPr>
        <w:tab/>
        <w:t>FJ10 (Test 14)</w:t>
      </w:r>
      <w:r w:rsidRPr="001F2645">
        <w:rPr>
          <w:lang w:val="en-FR"/>
        </w:rPr>
        <w:tab/>
        <w:t>FJ11 (Test 14, scatter only)</w:t>
      </w:r>
    </w:p>
    <w:p w14:paraId="1522CCF3" w14:textId="77777777" w:rsidR="001F2645" w:rsidRPr="001F2645" w:rsidRDefault="001F2645" w:rsidP="001F2645">
      <w:pPr>
        <w:rPr>
          <w:lang w:val="en-FR"/>
        </w:rPr>
      </w:pPr>
      <w:r w:rsidRPr="001F2645">
        <w:rPr>
          <w:lang w:val="en-FR"/>
        </w:rPr>
        <w:t>Populations tested</w:t>
      </w:r>
      <w:r w:rsidRPr="001F2645">
        <w:rPr>
          <w:lang w:val="en-FR"/>
        </w:rPr>
        <w:tab/>
        <w:t>20</w:t>
      </w:r>
      <w:r w:rsidRPr="001F2645">
        <w:rPr>
          <w:lang w:val="en-FR"/>
        </w:rPr>
        <w:tab/>
        <w:t>20</w:t>
      </w:r>
      <w:r w:rsidRPr="001F2645">
        <w:rPr>
          <w:lang w:val="en-FR"/>
        </w:rPr>
        <w:tab/>
        <w:t>15</w:t>
      </w:r>
      <w:r w:rsidRPr="001F2645">
        <w:rPr>
          <w:lang w:val="en-FR"/>
        </w:rPr>
        <w:tab/>
        <w:t>3</w:t>
      </w:r>
    </w:p>
    <w:p w14:paraId="731D53E6" w14:textId="77777777" w:rsidR="001F2645" w:rsidRPr="001F2645" w:rsidRDefault="001F2645" w:rsidP="001F2645">
      <w:pPr>
        <w:rPr>
          <w:lang w:val="en-FR"/>
        </w:rPr>
      </w:pPr>
      <w:r w:rsidRPr="001F2645">
        <w:rPr>
          <w:lang w:val="en-FR"/>
        </w:rPr>
        <w:lastRenderedPageBreak/>
        <w:t>Exact agreement</w:t>
      </w:r>
      <w:r w:rsidRPr="001F2645">
        <w:rPr>
          <w:lang w:val="en-FR"/>
        </w:rPr>
        <w:tab/>
        <w:t>15 (75%)</w:t>
      </w:r>
      <w:r w:rsidRPr="001F2645">
        <w:rPr>
          <w:lang w:val="en-FR"/>
        </w:rPr>
        <w:tab/>
        <w:t>4 (20%)</w:t>
      </w:r>
      <w:r w:rsidRPr="001F2645">
        <w:rPr>
          <w:lang w:val="en-FR"/>
        </w:rPr>
        <w:tab/>
        <w:t>12 (80%)</w:t>
      </w:r>
      <w:r w:rsidRPr="001F2645">
        <w:rPr>
          <w:lang w:val="en-FR"/>
        </w:rPr>
        <w:tab/>
        <w:t>0 (0%)</w:t>
      </w:r>
    </w:p>
    <w:p w14:paraId="4728A5A6" w14:textId="77777777" w:rsidR="001F2645" w:rsidRPr="001F2645" w:rsidRDefault="001F2645" w:rsidP="001F2645">
      <w:pPr>
        <w:rPr>
          <w:lang w:val="en-FR"/>
        </w:rPr>
      </w:pPr>
      <w:r w:rsidRPr="001F2645">
        <w:rPr>
          <w:lang w:val="en-FR"/>
        </w:rPr>
        <w:t>Minor discrepancy ≤0.3%</w:t>
      </w:r>
      <w:r w:rsidRPr="001F2645">
        <w:rPr>
          <w:lang w:val="en-FR"/>
        </w:rPr>
        <w:tab/>
        <w:t>5 (25%)</w:t>
      </w:r>
      <w:r w:rsidRPr="001F2645">
        <w:rPr>
          <w:lang w:val="en-FR"/>
        </w:rPr>
        <w:tab/>
        <w:t>11 (55%)</w:t>
      </w:r>
      <w:r w:rsidRPr="001F2645">
        <w:rPr>
          <w:lang w:val="en-FR"/>
        </w:rPr>
        <w:tab/>
        <w:t>3 (20%)</w:t>
      </w:r>
      <w:r w:rsidRPr="001F2645">
        <w:rPr>
          <w:lang w:val="en-FR"/>
        </w:rPr>
        <w:tab/>
        <w:t>3 (100%)</w:t>
      </w:r>
    </w:p>
    <w:p w14:paraId="7D67BE52" w14:textId="77777777" w:rsidR="001F2645" w:rsidRPr="001F2645" w:rsidRDefault="001F2645" w:rsidP="001F2645">
      <w:pPr>
        <w:rPr>
          <w:lang w:val="en-FR"/>
        </w:rPr>
      </w:pPr>
      <w:r w:rsidRPr="001F2645">
        <w:rPr>
          <w:lang w:val="en-FR"/>
        </w:rPr>
        <w:t>Major discrepancy &gt;0.3%</w:t>
      </w:r>
      <w:r w:rsidRPr="001F2645">
        <w:rPr>
          <w:lang w:val="en-FR"/>
        </w:rPr>
        <w:tab/>
        <w:t>0 (0%)</w:t>
      </w:r>
      <w:r w:rsidRPr="001F2645">
        <w:rPr>
          <w:lang w:val="en-FR"/>
        </w:rPr>
        <w:tab/>
        <w:t>5 (25%)</w:t>
      </w:r>
      <w:r w:rsidRPr="001F2645">
        <w:rPr>
          <w:lang w:val="en-FR"/>
        </w:rPr>
        <w:tab/>
        <w:t>0 (0%)</w:t>
      </w:r>
      <w:r w:rsidRPr="001F2645">
        <w:rPr>
          <w:lang w:val="en-FR"/>
        </w:rPr>
        <w:tab/>
        <w:t>0 (0%)</w:t>
      </w:r>
    </w:p>
    <w:p w14:paraId="0FFD5B02" w14:textId="77777777" w:rsidR="001F2645" w:rsidRPr="001F2645" w:rsidRDefault="001F2645" w:rsidP="001F2645">
      <w:pPr>
        <w:rPr>
          <w:lang w:val="en-FR"/>
        </w:rPr>
      </w:pPr>
      <w:r w:rsidRPr="001F2645">
        <w:rPr>
          <w:lang w:val="en-FR"/>
        </w:rPr>
        <w:t>Largest absolute difference</w:t>
      </w:r>
      <w:r w:rsidRPr="001F2645">
        <w:rPr>
          <w:lang w:val="en-FR"/>
        </w:rPr>
        <w:tab/>
        <w:t>14 cells (0.30%)</w:t>
      </w:r>
      <w:r w:rsidRPr="001F2645">
        <w:rPr>
          <w:lang w:val="en-FR"/>
        </w:rPr>
        <w:tab/>
        <w:t>202 cells (2.77%)</w:t>
      </w:r>
      <w:r w:rsidRPr="001F2645">
        <w:rPr>
          <w:lang w:val="en-FR"/>
        </w:rPr>
        <w:tab/>
        <w:t>10 cells (0.05%)</w:t>
      </w:r>
      <w:r w:rsidRPr="001F2645">
        <w:rPr>
          <w:lang w:val="en-FR"/>
        </w:rPr>
        <w:tab/>
        <w:t>107 cells (0.57%)</w:t>
      </w:r>
    </w:p>
    <w:p w14:paraId="059921F0" w14:textId="77777777" w:rsidR="001F2645" w:rsidRPr="001F2645" w:rsidRDefault="001F2645" w:rsidP="001F2645">
      <w:pPr>
        <w:rPr>
          <w:lang w:val="en-FR"/>
        </w:rPr>
      </w:pPr>
      <w:r w:rsidRPr="001F2645">
        <w:rPr>
          <w:lang w:val="en-FR"/>
        </w:rPr>
        <w:t>Mean absolute % difference</w:t>
      </w:r>
      <w:r w:rsidRPr="001F2645">
        <w:rPr>
          <w:lang w:val="en-FR"/>
        </w:rPr>
        <w:tab/>
        <w:t>0.024%</w:t>
      </w:r>
      <w:r w:rsidRPr="001F2645">
        <w:rPr>
          <w:lang w:val="en-FR"/>
        </w:rPr>
        <w:tab/>
        <w:t>0.29% †</w:t>
      </w:r>
      <w:r w:rsidRPr="001F2645">
        <w:rPr>
          <w:lang w:val="en-FR"/>
        </w:rPr>
        <w:tab/>
        <w:t>0.013%</w:t>
      </w:r>
      <w:r w:rsidRPr="001F2645">
        <w:rPr>
          <w:lang w:val="en-FR"/>
        </w:rPr>
        <w:tab/>
        <w:t>0.51%</w:t>
      </w:r>
    </w:p>
    <w:p w14:paraId="5EB7AF3B" w14:textId="77777777" w:rsidR="001F2645" w:rsidRPr="001F2645" w:rsidRDefault="001F2645" w:rsidP="001F2645">
      <w:pPr>
        <w:rPr>
          <w:lang w:val="en-FR"/>
        </w:rPr>
      </w:pPr>
      <w:r w:rsidRPr="001F2645">
        <w:rPr>
          <w:lang w:val="en-FR"/>
        </w:rPr>
        <w:t>FJ11 import failures</w:t>
      </w:r>
      <w:r w:rsidRPr="001F2645">
        <w:rPr>
          <w:lang w:val="en-FR"/>
        </w:rPr>
        <w:tab/>
        <w:t>—</w:t>
      </w:r>
      <w:r w:rsidRPr="001F2645">
        <w:rPr>
          <w:lang w:val="en-FR"/>
        </w:rPr>
        <w:tab/>
        <w:t>Boolean + arcsinh gates</w:t>
      </w:r>
      <w:r w:rsidRPr="001F2645">
        <w:rPr>
          <w:lang w:val="en-FR"/>
        </w:rPr>
        <w:tab/>
        <w:t>—</w:t>
      </w:r>
      <w:r w:rsidRPr="001F2645">
        <w:rPr>
          <w:lang w:val="en-FR"/>
        </w:rPr>
        <w:tab/>
        <w:t>Marker naming (cascading)</w:t>
      </w:r>
    </w:p>
    <w:p w14:paraId="47CA495E" w14:textId="77777777" w:rsidR="001F2645" w:rsidRPr="001F2645" w:rsidRDefault="001F2645" w:rsidP="001F2645">
      <w:pPr>
        <w:rPr>
          <w:lang w:val="en-FR"/>
        </w:rPr>
      </w:pPr>
      <w:r w:rsidRPr="001F2645">
        <w:rPr>
          <w:lang w:val="en-FR"/>
        </w:rPr>
        <w:t>† Excluding test12 PE_hi (1799-cell anomaly; FJ11 import-time misinterpretation documented in Section 5.2). Including PE_hi, mean absolute percentage difference rises to approximately 2.6%.</w:t>
      </w:r>
    </w:p>
    <w:p w14:paraId="366D7A4F" w14:textId="77777777" w:rsidR="001F2645" w:rsidRPr="001F2645" w:rsidRDefault="001F2645" w:rsidP="001F2645">
      <w:pPr>
        <w:rPr>
          <w:lang w:val="en-FR"/>
        </w:rPr>
      </w:pPr>
    </w:p>
    <w:p w14:paraId="20F9F667" w14:textId="77777777" w:rsidR="001F2645" w:rsidRPr="001F2645" w:rsidRDefault="001F2645" w:rsidP="001F2645">
      <w:pPr>
        <w:rPr>
          <w:lang w:val="en-FR"/>
        </w:rPr>
      </w:pPr>
      <w:r w:rsidRPr="001F2645">
        <w:rPr>
          <w:lang w:val="en-FR"/>
        </w:rPr>
        <w:t>5.3. Standards Compliance</w:t>
      </w:r>
    </w:p>
    <w:p w14:paraId="306E8EC2" w14:textId="77777777" w:rsidR="001F2645" w:rsidRPr="001F2645" w:rsidRDefault="001F2645" w:rsidP="001F2645">
      <w:pPr>
        <w:rPr>
          <w:lang w:val="en-FR"/>
        </w:rPr>
      </w:pPr>
      <w:r w:rsidRPr="001F2645">
        <w:rPr>
          <w:lang w:val="en-FR"/>
        </w:rPr>
        <w:t>Structural conformance to the Gating-ML 2.0 specification was assessed through namespace verification and element attribute checks. All 50 applicable structural checks passed across the 13 test workspaces, confirming correct usage of gate elements (Rectangle, Polygon, Ellipsoid) and transformation definitions (Table 3).</w:t>
      </w:r>
    </w:p>
    <w:p w14:paraId="1C676AF1" w14:textId="77777777" w:rsidR="001F2645" w:rsidRPr="001F2645" w:rsidRDefault="001F2645" w:rsidP="001F2645">
      <w:pPr>
        <w:rPr>
          <w:lang w:val="en-FR"/>
        </w:rPr>
      </w:pPr>
    </w:p>
    <w:p w14:paraId="467E5772" w14:textId="77777777" w:rsidR="001F2645" w:rsidRPr="001F2645" w:rsidRDefault="001F2645" w:rsidP="001F2645">
      <w:pPr>
        <w:rPr>
          <w:lang w:val="en-FR"/>
        </w:rPr>
      </w:pPr>
      <w:r w:rsidRPr="001F2645">
        <w:rPr>
          <w:lang w:val="en-FR"/>
        </w:rPr>
        <w:t>Strict validation against the official Gating-ML 2.0 XSD schema failed for both CyFj11 exports and authentic FlowJo v10 workspaces — a known consequence of FlowJo v10's use of proprietary transformation element names (e.g., transforms:biex) in place of the standard &lt;transforms:transformation&gt; wrapper. Because CyFj11 replicates the native FlowJo v10 format, this deviation is inherent to the target software rather than a deficiency of the export tool.</w:t>
      </w:r>
    </w:p>
    <w:p w14:paraId="77ED9D95" w14:textId="77777777" w:rsidR="001F2645" w:rsidRPr="001F2645" w:rsidRDefault="001F2645" w:rsidP="001F2645">
      <w:pPr>
        <w:rPr>
          <w:lang w:val="en-FR"/>
        </w:rPr>
      </w:pPr>
    </w:p>
    <w:p w14:paraId="71C34FEB" w14:textId="77777777" w:rsidR="001F2645" w:rsidRPr="001F2645" w:rsidRDefault="001F2645" w:rsidP="001F2645">
      <w:pPr>
        <w:rPr>
          <w:lang w:val="en-FR"/>
        </w:rPr>
      </w:pPr>
      <w:r w:rsidRPr="001F2645">
        <w:rPr>
          <w:lang w:val="en-FR"/>
        </w:rPr>
        <w:t>With respect to MIFlowCyt compliance, CyFj11 preserves all gating-workspace metadata within scope, including gate definitions, compensation matrices, transformation parameters, and FCS keywords. Metadata external to the workspace file — such as instrument configuration or antibody catalog numbers — remains the user's responsibility to curate. Compensation matrix export is implemented and included in all test workspaces; detailed results are provided in Supplementary File 4.</w:t>
      </w:r>
    </w:p>
    <w:p w14:paraId="6CDDCEB3" w14:textId="77777777" w:rsidR="001F2645" w:rsidRPr="001F2645" w:rsidRDefault="001F2645" w:rsidP="001F2645">
      <w:pPr>
        <w:rPr>
          <w:lang w:val="en-FR"/>
        </w:rPr>
      </w:pPr>
    </w:p>
    <w:p w14:paraId="144F8B43" w14:textId="77777777" w:rsidR="001F2645" w:rsidRPr="001F2645" w:rsidRDefault="001F2645" w:rsidP="001F2645">
      <w:pPr>
        <w:rPr>
          <w:lang w:val="en-FR"/>
        </w:rPr>
      </w:pPr>
      <w:r w:rsidRPr="001F2645">
        <w:rPr>
          <w:lang w:val="en-FR"/>
        </w:rPr>
        <w:t>Table 3. Gating-ML 2.0 Structural Conformance Results.</w:t>
      </w:r>
    </w:p>
    <w:p w14:paraId="4A9E41E9" w14:textId="77777777" w:rsidR="001F2645" w:rsidRPr="001F2645" w:rsidRDefault="001F2645" w:rsidP="001F2645">
      <w:pPr>
        <w:rPr>
          <w:lang w:val="en-FR"/>
        </w:rPr>
      </w:pPr>
    </w:p>
    <w:p w14:paraId="345366CE" w14:textId="77777777" w:rsidR="001F2645" w:rsidRPr="001F2645" w:rsidRDefault="001F2645" w:rsidP="001F2645">
      <w:pPr>
        <w:rPr>
          <w:lang w:val="en-FR"/>
        </w:rPr>
      </w:pPr>
      <w:r w:rsidRPr="001F2645">
        <w:rPr>
          <w:lang w:val="en-FR"/>
        </w:rPr>
        <w:t>Check Category</w:t>
      </w:r>
      <w:r w:rsidRPr="001F2645">
        <w:rPr>
          <w:lang w:val="en-FR"/>
        </w:rPr>
        <w:tab/>
        <w:t>Applicable</w:t>
      </w:r>
      <w:r w:rsidRPr="001F2645">
        <w:rPr>
          <w:lang w:val="en-FR"/>
        </w:rPr>
        <w:tab/>
        <w:t>Pass</w:t>
      </w:r>
      <w:r w:rsidRPr="001F2645">
        <w:rPr>
          <w:lang w:val="en-FR"/>
        </w:rPr>
        <w:tab/>
        <w:t>Fail</w:t>
      </w:r>
    </w:p>
    <w:p w14:paraId="7E9BBA88" w14:textId="77777777" w:rsidR="001F2645" w:rsidRPr="001F2645" w:rsidRDefault="001F2645" w:rsidP="001F2645">
      <w:pPr>
        <w:rPr>
          <w:lang w:val="en-FR"/>
        </w:rPr>
      </w:pPr>
      <w:r w:rsidRPr="001F2645">
        <w:rPr>
          <w:lang w:val="en-FR"/>
        </w:rPr>
        <w:t>Namespace URIs</w:t>
      </w:r>
      <w:r w:rsidRPr="001F2645">
        <w:rPr>
          <w:lang w:val="en-FR"/>
        </w:rPr>
        <w:tab/>
        <w:t>13</w:t>
      </w:r>
      <w:r w:rsidRPr="001F2645">
        <w:rPr>
          <w:lang w:val="en-FR"/>
        </w:rPr>
        <w:tab/>
        <w:t>13</w:t>
      </w:r>
      <w:r w:rsidRPr="001F2645">
        <w:rPr>
          <w:lang w:val="en-FR"/>
        </w:rPr>
        <w:tab/>
        <w:t>0</w:t>
      </w:r>
    </w:p>
    <w:p w14:paraId="37500179" w14:textId="77777777" w:rsidR="001F2645" w:rsidRPr="001F2645" w:rsidRDefault="001F2645" w:rsidP="001F2645">
      <w:pPr>
        <w:rPr>
          <w:lang w:val="en-FR"/>
        </w:rPr>
      </w:pPr>
      <w:r w:rsidRPr="001F2645">
        <w:rPr>
          <w:lang w:val="en-FR"/>
        </w:rPr>
        <w:t>Gate elements (Rect/Poly/Ellip)</w:t>
      </w:r>
      <w:r w:rsidRPr="001F2645">
        <w:rPr>
          <w:lang w:val="en-FR"/>
        </w:rPr>
        <w:tab/>
        <w:t>16</w:t>
      </w:r>
      <w:r w:rsidRPr="001F2645">
        <w:rPr>
          <w:lang w:val="en-FR"/>
        </w:rPr>
        <w:tab/>
        <w:t>16</w:t>
      </w:r>
      <w:r w:rsidRPr="001F2645">
        <w:rPr>
          <w:lang w:val="en-FR"/>
        </w:rPr>
        <w:tab/>
        <w:t>0</w:t>
      </w:r>
    </w:p>
    <w:p w14:paraId="1355416C" w14:textId="77777777" w:rsidR="001F2645" w:rsidRPr="001F2645" w:rsidRDefault="001F2645" w:rsidP="001F2645">
      <w:pPr>
        <w:rPr>
          <w:lang w:val="en-FR"/>
        </w:rPr>
      </w:pPr>
      <w:r w:rsidRPr="001F2645">
        <w:rPr>
          <w:lang w:val="en-FR"/>
        </w:rPr>
        <w:t>Transform elements</w:t>
      </w:r>
      <w:r w:rsidRPr="001F2645">
        <w:rPr>
          <w:lang w:val="en-FR"/>
        </w:rPr>
        <w:tab/>
        <w:t>11</w:t>
      </w:r>
      <w:r w:rsidRPr="001F2645">
        <w:rPr>
          <w:lang w:val="en-FR"/>
        </w:rPr>
        <w:tab/>
        <w:t>11</w:t>
      </w:r>
      <w:r w:rsidRPr="001F2645">
        <w:rPr>
          <w:lang w:val="en-FR"/>
        </w:rPr>
        <w:tab/>
        <w:t>0</w:t>
      </w:r>
    </w:p>
    <w:p w14:paraId="48BB8421" w14:textId="77777777" w:rsidR="001F2645" w:rsidRPr="001F2645" w:rsidRDefault="001F2645" w:rsidP="001F2645">
      <w:pPr>
        <w:rPr>
          <w:lang w:val="en-FR"/>
        </w:rPr>
      </w:pPr>
      <w:r w:rsidRPr="001F2645">
        <w:rPr>
          <w:lang w:val="en-FR"/>
        </w:rPr>
        <w:t>Overall structural compliance</w:t>
      </w:r>
      <w:r w:rsidRPr="001F2645">
        <w:rPr>
          <w:lang w:val="en-FR"/>
        </w:rPr>
        <w:tab/>
        <w:t>50</w:t>
      </w:r>
      <w:r w:rsidRPr="001F2645">
        <w:rPr>
          <w:lang w:val="en-FR"/>
        </w:rPr>
        <w:tab/>
        <w:t>50</w:t>
      </w:r>
      <w:r w:rsidRPr="001F2645">
        <w:rPr>
          <w:lang w:val="en-FR"/>
        </w:rPr>
        <w:tab/>
        <w:t>0</w:t>
      </w:r>
    </w:p>
    <w:p w14:paraId="5CC8D328" w14:textId="77777777" w:rsidR="001F2645" w:rsidRPr="001F2645" w:rsidRDefault="001F2645" w:rsidP="001F2645">
      <w:pPr>
        <w:rPr>
          <w:lang w:val="en-FR"/>
        </w:rPr>
      </w:pPr>
      <w:r w:rsidRPr="001F2645">
        <w:rPr>
          <w:lang w:val="en-FR"/>
        </w:rPr>
        <w:t>5.4. Real-World Validation and Compensation Matrix Export (Test 14)</w:t>
      </w:r>
    </w:p>
    <w:p w14:paraId="1F599853" w14:textId="77777777" w:rsidR="001F2645" w:rsidRPr="001F2645" w:rsidRDefault="001F2645" w:rsidP="001F2645">
      <w:pPr>
        <w:rPr>
          <w:lang w:val="en-FR"/>
        </w:rPr>
      </w:pPr>
      <w:r w:rsidRPr="001F2645">
        <w:rPr>
          <w:lang w:val="en-FR"/>
        </w:rPr>
        <w:t>To assess export fidelity under real-world conditions and to provide initial evidence for correct compensation matrix handling, Test 14 used the example dataset distributed with the FlowSOM R package (68983.fcs; mouse bone marrow immunophenotyping) together with its associated FlowJo v10 workspace (gating.wsp). This test exercises a more demanding pipeline than tests 01–13: the GatingSet was imported from an existing v10 workspace via CytoML (CytoML::flowjo_to_gatingset()) rather than constructed from scratch in R, and then re-exported to v10 format via export_flowjo10_workspace(). This design validates the complete CytoML-to-CyFj11 round-trip — the most common real-world workflow for researchers transitioning from a FlowJo v10 environment to R-based analysis and back.</w:t>
      </w:r>
    </w:p>
    <w:p w14:paraId="4B35661E" w14:textId="77777777" w:rsidR="001F2645" w:rsidRPr="001F2645" w:rsidRDefault="001F2645" w:rsidP="001F2645">
      <w:pPr>
        <w:rPr>
          <w:lang w:val="en-FR"/>
        </w:rPr>
      </w:pPr>
    </w:p>
    <w:p w14:paraId="5A9B6F0E" w14:textId="77777777" w:rsidR="001F2645" w:rsidRPr="001F2645" w:rsidRDefault="001F2645" w:rsidP="001F2645">
      <w:pPr>
        <w:rPr>
          <w:lang w:val="en-FR"/>
        </w:rPr>
      </w:pPr>
      <w:r w:rsidRPr="001F2645">
        <w:rPr>
          <w:lang w:val="en-FR"/>
        </w:rPr>
        <w:t xml:space="preserve">The workspace encompasses a three-level hierarchical gating strategy covering 15 populations across scatter and compensated fluorescence channels (NK1.1, CD3, CD19, TCRβ, TCRγδ, CD4, CD8), with polygon gates for lymphocyte and T cell subsets and 2D </w:t>
      </w:r>
      <w:r w:rsidRPr="001F2645">
        <w:rPr>
          <w:lang w:val="en-FR"/>
        </w:rPr>
        <w:lastRenderedPageBreak/>
        <w:t>rectangle gates for all remaining populations. The compensation matrix embedded in the original workspace was extracted by CytoML during import and preserved by CyFj11 in the exported XML.</w:t>
      </w:r>
    </w:p>
    <w:p w14:paraId="180043FB" w14:textId="77777777" w:rsidR="001F2645" w:rsidRPr="001F2645" w:rsidRDefault="001F2645" w:rsidP="001F2645">
      <w:pPr>
        <w:rPr>
          <w:lang w:val="en-FR"/>
        </w:rPr>
      </w:pPr>
    </w:p>
    <w:p w14:paraId="5D3CAA21" w14:textId="77777777" w:rsidR="001F2645" w:rsidRPr="001F2645" w:rsidRDefault="001F2645" w:rsidP="001F2645">
      <w:pPr>
        <w:rPr>
          <w:lang w:val="en-FR"/>
        </w:rPr>
      </w:pPr>
      <w:r w:rsidRPr="001F2645">
        <w:rPr>
          <w:lang w:val="en-FR"/>
        </w:rPr>
        <w:t>FlowJo v10 results. Of the 15 populations, 12 showed exact count agreement with R. The remaining three — Lymphocytes, Singlets, and Singlets2, all scatter-channel polygon or rectangle gates — differed by at most 10 cells (0.05%). All 12 populations gated on compensated fluorescence channels — including NK cells, NK T cells, B cells, T cells, αβ T cells, γδ T cells, and CD4/CD8/DN/DP subsets — showed exact or near-exact agreement. These results provide indirect evidence that the compensation matrix was correctly preserved in the exported XML: correct counts on fluorescence-channel axes can only be obtained if the applied compensation matches the original matrix definition. A direct element-wise comparison of the exported &lt;spilloverMatrix&gt; XML block against the original workspace matrix confirmed identity for all entries (Supplementary Table S1).</w:t>
      </w:r>
    </w:p>
    <w:p w14:paraId="7B57ABCC" w14:textId="77777777" w:rsidR="001F2645" w:rsidRPr="001F2645" w:rsidRDefault="001F2645" w:rsidP="001F2645">
      <w:pPr>
        <w:rPr>
          <w:lang w:val="en-FR"/>
        </w:rPr>
      </w:pPr>
    </w:p>
    <w:p w14:paraId="28921750" w14:textId="6D669BF4" w:rsidR="0080169A" w:rsidRPr="0081532D" w:rsidRDefault="001F2645" w:rsidP="001F2645">
      <w:pPr>
        <w:rPr>
          <w:lang w:val="en-FR"/>
        </w:rPr>
      </w:pPr>
      <w:r w:rsidRPr="001F2645">
        <w:rPr>
          <w:lang w:val="en-FR"/>
        </w:rPr>
        <w:t>FlowJo v11 results. As documented in Section 5.2, FlowJo v11 failed to parse the marker name "NK1_1+" from the CyFj11-exported XML, causing cascading inaccessibility of all fluorescence-channel populations. The three scatter-channel populations that were successfully displayed (Lymphocytes, Singlets, Singlets2) showed consistent undercounts of approximately 0.5% relative to R, consistent with the polygon and rectangle gate interpretation behavior observed in tests 04, 09, and 10.</w:t>
      </w:r>
    </w:p>
    <w:p w14:paraId="532A8FCC" w14:textId="77777777" w:rsidR="008D041B" w:rsidRDefault="00F065AE">
      <w:bookmarkStart w:id="4" w:name="validation"/>
      <w:bookmarkStart w:id="5" w:name="standards-compliance"/>
      <w:bookmarkEnd w:id="2"/>
      <w:bookmarkEnd w:id="3"/>
      <w:r>
        <w:rPr>
          <w:noProof/>
        </w:rPr>
        <w:pict w14:anchorId="5B66AE77">
          <v:rect id="_x0000_i1038" alt="" style="width:451.3pt;height:.05pt;mso-width-percent:0;mso-height-percent:0;mso-width-percent:0;mso-height-percent:0" o:hralign="center" o:hrstd="t" o:hr="t"/>
        </w:pict>
      </w:r>
    </w:p>
    <w:p w14:paraId="0A3EA43E" w14:textId="77777777" w:rsidR="00974114" w:rsidRDefault="00974114" w:rsidP="00974114">
      <w:pPr>
        <w:pStyle w:val="Heading1"/>
      </w:pPr>
      <w:bookmarkStart w:id="6" w:name="discussion"/>
      <w:bookmarkStart w:id="7" w:name="future-directions"/>
      <w:bookmarkEnd w:id="4"/>
      <w:bookmarkEnd w:id="5"/>
      <w:r>
        <w:t>Discussion</w:t>
      </w:r>
    </w:p>
    <w:p w14:paraId="6D256F59" w14:textId="77777777" w:rsidR="00F76551" w:rsidRPr="00F76551" w:rsidRDefault="00F76551" w:rsidP="00F76551">
      <w:pPr>
        <w:rPr>
          <w:lang w:val="en-US" w:eastAsia="en-US"/>
        </w:rPr>
      </w:pPr>
      <w:r w:rsidRPr="00F76551">
        <w:rPr>
          <w:lang w:val="en-US" w:eastAsia="en-US"/>
        </w:rPr>
        <w:t>CyFj11 targets researchers who use FlowJo v11 as their primary gating environment and require downstream analysis in R — or who need to export R-derived gating results back to FlowJo for visual inspection or collaborative review. The package is particularly suited to high-throughput quality checking of manually gated high-dimensional flow cytometry files, enabling rapid simultaneous visualization of a given population across many samples.</w:t>
      </w:r>
    </w:p>
    <w:p w14:paraId="502D8857" w14:textId="77777777" w:rsidR="00F76551" w:rsidRPr="00F76551" w:rsidRDefault="00F76551" w:rsidP="00F76551">
      <w:pPr>
        <w:rPr>
          <w:lang w:val="en-US" w:eastAsia="en-US"/>
        </w:rPr>
      </w:pPr>
    </w:p>
    <w:p w14:paraId="7DD457BB" w14:textId="77777777" w:rsidR="00F76551" w:rsidRPr="00F76551" w:rsidRDefault="00F76551" w:rsidP="00F76551">
      <w:pPr>
        <w:rPr>
          <w:lang w:val="en-US" w:eastAsia="en-US"/>
        </w:rPr>
      </w:pPr>
      <w:r w:rsidRPr="00F76551">
        <w:rPr>
          <w:lang w:val="en-US" w:eastAsia="en-US"/>
        </w:rPr>
        <w:t>A secondary use case serves researchers who cannot deploy CytoML for v10 workspace import due to platform constraints — most commonly on macOS with Apple Silicon (ARM), where CytoML's Docker-based C++ components are unmaintained. The typical workflow is: gate cells in FlowJo v11, import the workspace into R via fj11_to_gatingset(), apply statistical analysis or batch processing, and optionally return results to FlowJo using export_flowjo10_workspace().</w:t>
      </w:r>
    </w:p>
    <w:p w14:paraId="563690E0" w14:textId="77777777" w:rsidR="00F76551" w:rsidRPr="00F76551" w:rsidRDefault="00F76551" w:rsidP="00F76551">
      <w:pPr>
        <w:rPr>
          <w:lang w:val="en-US" w:eastAsia="en-US"/>
        </w:rPr>
      </w:pPr>
    </w:p>
    <w:p w14:paraId="0660C974" w14:textId="77777777" w:rsidR="00F76551" w:rsidRPr="00F76551" w:rsidRDefault="00F76551" w:rsidP="00F76551">
      <w:pPr>
        <w:rPr>
          <w:lang w:val="en-US" w:eastAsia="en-US"/>
        </w:rPr>
      </w:pPr>
      <w:r w:rsidRPr="00F76551">
        <w:rPr>
          <w:lang w:val="en-US" w:eastAsia="en-US"/>
        </w:rPr>
        <w:t>CyFj11 is not designed to replace FlowJo as a gating environment, nor to supplant CytoML for users whose pipelines are already built on v10 workspaces under standard platforms. Instead, it fills the specific gap created by FlowJo's format change: the inability to read v11 workspaces in R and the absence of a maintained, platform-independent v10 export path. For v10 import, CyFj11 currently relies on CytoML's FlowJo reader (CytoML::flowjo_to_gatingset()); any limitations of that reader — such as partial support for certain gate types or transformations — propagate equally to the round-trip comparison workflow.</w:t>
      </w:r>
    </w:p>
    <w:p w14:paraId="4A1D2615" w14:textId="77777777" w:rsidR="00F76551" w:rsidRPr="00F76551" w:rsidRDefault="00F76551" w:rsidP="00F76551">
      <w:pPr>
        <w:rPr>
          <w:lang w:val="en-US" w:eastAsia="en-US"/>
        </w:rPr>
      </w:pPr>
    </w:p>
    <w:p w14:paraId="5B4ABD48" w14:textId="77777777" w:rsidR="00F76551" w:rsidRPr="00F76551" w:rsidRDefault="00F76551" w:rsidP="00F76551">
      <w:pPr>
        <w:rPr>
          <w:lang w:val="en-US" w:eastAsia="en-US"/>
        </w:rPr>
      </w:pPr>
      <w:r w:rsidRPr="00F76551">
        <w:rPr>
          <w:lang w:val="en-US" w:eastAsia="en-US"/>
        </w:rPr>
        <w:t>Several limitations should be noted.</w:t>
      </w:r>
    </w:p>
    <w:p w14:paraId="5D4C6233" w14:textId="77777777" w:rsidR="00F76551" w:rsidRPr="00F76551" w:rsidRDefault="00F76551" w:rsidP="00F76551">
      <w:pPr>
        <w:rPr>
          <w:lang w:val="en-US" w:eastAsia="en-US"/>
        </w:rPr>
      </w:pPr>
    </w:p>
    <w:p w14:paraId="56601FB5" w14:textId="77777777" w:rsidR="00F76551" w:rsidRPr="00F76551" w:rsidRDefault="00F76551" w:rsidP="00F76551">
      <w:pPr>
        <w:rPr>
          <w:lang w:val="en-US" w:eastAsia="en-US"/>
        </w:rPr>
      </w:pPr>
      <w:r w:rsidRPr="00F76551">
        <w:rPr>
          <w:lang w:val="en-US" w:eastAsia="en-US"/>
        </w:rPr>
        <w:t>First, quadrant gates are not exported to v10 format. The FlowJo v10 XML schema provides no direct representation for this gate type; users who rely on quadrant gates will need to reconstruct them manually in FlowJo after export.</w:t>
      </w:r>
    </w:p>
    <w:p w14:paraId="40AD5326" w14:textId="77777777" w:rsidR="00F76551" w:rsidRPr="00F76551" w:rsidRDefault="00F76551" w:rsidP="00F76551">
      <w:pPr>
        <w:rPr>
          <w:lang w:val="en-US" w:eastAsia="en-US"/>
        </w:rPr>
      </w:pPr>
    </w:p>
    <w:p w14:paraId="545B9DF6" w14:textId="77777777" w:rsidR="00F76551" w:rsidRPr="00F76551" w:rsidRDefault="00F76551" w:rsidP="00F76551">
      <w:pPr>
        <w:rPr>
          <w:lang w:val="en-US" w:eastAsia="en-US"/>
        </w:rPr>
      </w:pPr>
      <w:r w:rsidRPr="00F76551">
        <w:rPr>
          <w:lang w:val="en-US" w:eastAsia="en-US"/>
        </w:rPr>
        <w:lastRenderedPageBreak/>
        <w:t>Second, per-sample gate variations (tailored gates) cannot be represented in v10 format, and export therefore falls back to the group-level gate. Because fj11_to_gatingset() returns a list of per-sample GatingSet objects rather than a single merged object, users can inspect and work with per-sample gates in R before committing to a merge strategy. Nevertheless, conversion to a single GatingSet via flowWorkspace::merge_list_to_gs() necessarily discards sample-specific variation. Extending flowCore to natively support per-sample gate representations would be a valuable future development.</w:t>
      </w:r>
    </w:p>
    <w:p w14:paraId="59C7D94E" w14:textId="77777777" w:rsidR="00F76551" w:rsidRPr="00F76551" w:rsidRDefault="00F76551" w:rsidP="00F76551">
      <w:pPr>
        <w:rPr>
          <w:lang w:val="en-US" w:eastAsia="en-US"/>
        </w:rPr>
      </w:pPr>
    </w:p>
    <w:p w14:paraId="62E8779A" w14:textId="77777777" w:rsidR="00F76551" w:rsidRPr="00F76551" w:rsidRDefault="00F76551" w:rsidP="00F76551">
      <w:pPr>
        <w:rPr>
          <w:lang w:val="en-US" w:eastAsia="en-US"/>
        </w:rPr>
      </w:pPr>
      <w:r w:rsidRPr="00F76551">
        <w:rPr>
          <w:lang w:val="en-US" w:eastAsia="en-US"/>
        </w:rPr>
        <w:t>Third, FlowJo v11 exhibits limited backward compatibility with the v10 XML format generated by CyFj11. The validation suite revealed four distinct FJ11 import failures: (i) boolean gate definitions are silently discarded on import into FlowJo v11, requiring manual reconstruction in every test scenario in which they were present; (ii) arcsinh-transformed gates are rendered with incorrect boundaries, producing systematically wrong population counts; (iii) one log-transformed gate (test12 PE_hi) was severely misinterpreted on direct import, yielding a 47% count discrepancy that was fully resolved only after manual revision within FlowJo v11 — confirmed to be an FJ11-side parsing failure rather than general coordinate drift, by exact reproduction in FlowJo v10 and by correct counts following manual correction; and (iv) FlowJo v11 failed to correctly parse the marker name "NK1_1+" when loading a CyFj11-exported v10 workspace (test14), rendering all downstream populations inaccessible — a failure not reproducible in FlowJo v10, establishing that the exported XML is structurally correct and the incompatibility is FJ11-specific. In all four cases, the v10 XML produced by CyFj11 was verified as correct by FlowJo v10, confirming that each failure originates in FlowJo v11's v10 reader, not in CyFj11. Critically, none of these incompatibilities are unique to CyFj11; they would affect any tool generating v10-format workspaces intended for import into FlowJo v11. Users should therefore expect to verify and manually reconstruct boolean gates after import, treat arcsinh-encoded gates with caution, and confirm marker name resolution — particularly for names that include non-alphanumeric characters — following import. CyFj11 does not alter marker names during export; they are written exactly as they appear in the GatingSet parameter table. For gates on standard biexponential, logicle, or linear axes, FJ11 import is generally reliable, with a re-save workaround resolving most residual discrepancies.</w:t>
      </w:r>
    </w:p>
    <w:p w14:paraId="0B4128DD" w14:textId="77777777" w:rsidR="00F76551" w:rsidRPr="00F76551" w:rsidRDefault="00F76551" w:rsidP="00F76551">
      <w:pPr>
        <w:rPr>
          <w:lang w:val="en-US" w:eastAsia="en-US"/>
        </w:rPr>
      </w:pPr>
    </w:p>
    <w:p w14:paraId="5DC95890" w14:textId="77777777" w:rsidR="00F76551" w:rsidRPr="00F76551" w:rsidRDefault="00F76551" w:rsidP="00F76551">
      <w:pPr>
        <w:rPr>
          <w:lang w:val="en-US" w:eastAsia="en-US"/>
        </w:rPr>
      </w:pPr>
      <w:r w:rsidRPr="00F76551">
        <w:rPr>
          <w:lang w:val="en-US" w:eastAsia="en-US"/>
        </w:rPr>
        <w:t>Fourth, compensation matrix export has not yet been validated against an independent reference standard; users should verify compensation settings in FlowJo after import.</w:t>
      </w:r>
    </w:p>
    <w:p w14:paraId="10576196" w14:textId="77777777" w:rsidR="00F76551" w:rsidRPr="00F76551" w:rsidRDefault="00F76551" w:rsidP="00F76551">
      <w:pPr>
        <w:rPr>
          <w:lang w:val="en-US" w:eastAsia="en-US"/>
        </w:rPr>
      </w:pPr>
    </w:p>
    <w:p w14:paraId="03475FBC" w14:textId="77777777" w:rsidR="00F76551" w:rsidRPr="00F76551" w:rsidRDefault="00F76551" w:rsidP="00F76551">
      <w:pPr>
        <w:rPr>
          <w:lang w:val="en-US" w:eastAsia="en-US"/>
        </w:rPr>
      </w:pPr>
      <w:r w:rsidRPr="00F76551">
        <w:rPr>
          <w:lang w:val="en-US" w:eastAsia="en-US"/>
        </w:rPr>
        <w:t>Fifth, the validation suite comprises 13 primary test scenarios and one supplementary test (test14), each constructed to probe specific gate types, transformation encodings, and known edge cases. Although this coverage is broad, it is necessarily synthetic: real-world workspaces may combine features or encounter configurations not represented in the test suite, and results should be interpreted with that scope in mind.</w:t>
      </w:r>
    </w:p>
    <w:p w14:paraId="6430512A" w14:textId="77777777" w:rsidR="00F76551" w:rsidRPr="00F76551" w:rsidRDefault="00F76551" w:rsidP="00F76551">
      <w:pPr>
        <w:rPr>
          <w:lang w:val="en-US" w:eastAsia="en-US"/>
        </w:rPr>
      </w:pPr>
    </w:p>
    <w:p w14:paraId="2CA695FF" w14:textId="677B3736" w:rsidR="00F76551" w:rsidRPr="00F76551" w:rsidRDefault="00F76551" w:rsidP="00F76551">
      <w:pPr>
        <w:rPr>
          <w:lang w:val="en-US" w:eastAsia="en-US"/>
        </w:rPr>
      </w:pPr>
      <w:r w:rsidRPr="00F76551">
        <w:rPr>
          <w:lang w:val="en-US" w:eastAsia="en-US"/>
        </w:rPr>
        <w:t xml:space="preserve">CytoML </w:t>
      </w:r>
      <w:r>
        <w:fldChar w:fldCharType="begin"/>
      </w:r>
      <w:r w:rsidR="000C2A9A">
        <w:rPr>
          <w:lang w:val="en-US"/>
        </w:rPr>
        <w:instrText xml:space="preserve"> ADDIN ZOTERO_ITEM CSL_CITATION {"citationID":"ddpVr7hz","properties":{"unsorted":false,"formattedCitation":"(8)","plainCitation":"(8)","noteIndex":0},"citationItems":[{"id":19659,"uris":["http://zotero.org/groups/2522180/items/LYWKBKYT"],"itemData":{"id":19659,"type":"article-journal","abstract":"Abstract\n            \n              CytoML\n              is an R/Bioconductor package that enables cross</w:instrText>
      </w:r>
      <w:r w:rsidR="000C2A9A">
        <w:rPr>
          <w:rFonts w:ascii="Cambria Math" w:hAnsi="Cambria Math" w:cs="Cambria Math"/>
          <w:lang w:val="en-US"/>
        </w:rPr>
        <w:instrText>‐</w:instrText>
      </w:r>
      <w:r w:rsidR="000C2A9A">
        <w:rPr>
          <w:lang w:val="en-US"/>
        </w:rPr>
        <w:instrText>platform import, export, and sharing of gated cytometry data. It currently supports Cytobank, FlowJo, Diva, and R, allowing users to import gated cytometry data from commercial platforms into R. Once data are available in R, the data can be further manipulated. For example it can be combined with other computational and analytic approaches, and the results can be exported to FlowJo or Cytobank to be explored by researchers using those platforms. We demonstrate how\n              CytoML\n              and related R packages can be used as a tool to import, modify and export several samples stained with the T cell panel from the FlowCAP IV Lyoplate data set. Once imported, the gating is modified using computational approaches, and exported for visualization in Cytobank and FlowJo. We further show how\n              CytoML\n              can be used to import gated data from a publicly accessible mass cytometry experiment from Cytobank.\n              CytoML\n              is the only tool that allows such sharing of gated cytometry data between researchers working across different platforms, and it will serve as a useful tool for validating and verifying the reproducibility of analyses. © 2018 The Authors. Cytometry Part A published by Wiley Periodicals, Inc. on behalf of International Society for Advancement of Cytometry.","container-title":"Cytometry Part A","DOI":"10.1002/cyto.a.23663","ISSN":"1552-4922, 1552-4930","issue":"12","journalAbbreviation":"Cytometry Pt A","language":"en","page":"1189-1196","source":"DOI.org (Crossref)","title":"&lt;i&gt;CytoML&lt;/i&gt; for cross</w:instrText>
      </w:r>
      <w:r w:rsidR="000C2A9A">
        <w:rPr>
          <w:rFonts w:ascii="Cambria Math" w:hAnsi="Cambria Math" w:cs="Cambria Math"/>
          <w:lang w:val="en-US"/>
        </w:rPr>
        <w:instrText>‐</w:instrText>
      </w:r>
      <w:r w:rsidR="000C2A9A">
        <w:rPr>
          <w:lang w:val="en-US"/>
        </w:rPr>
        <w:instrText xml:space="preserve">platform cytometry data sharing","volume":"93","author":[{"family":"Finak","given":"Greg"},{"family":"Jiang","given":"Wenxin"},{"family":"Gottardo","given":"Raphael"}],"issued":{"date-parts":[["2018",12]]}}}],"schema":"https://github.com/citation-style-language/schema/raw/master/csl-citation.json"} </w:instrText>
      </w:r>
      <w:r>
        <w:fldChar w:fldCharType="separate"/>
      </w:r>
      <w:r w:rsidR="000C2A9A">
        <w:rPr>
          <w:noProof/>
          <w:lang w:val="en-US"/>
        </w:rPr>
        <w:t>(8)</w:t>
      </w:r>
      <w:r>
        <w:fldChar w:fldCharType="end"/>
      </w:r>
      <w:r w:rsidRPr="00F76551">
        <w:rPr>
          <w:lang w:val="en-US" w:eastAsia="en-US"/>
        </w:rPr>
        <w:t xml:space="preserve"> </w:t>
      </w:r>
      <w:r w:rsidRPr="00F76551">
        <w:rPr>
          <w:lang w:val="en-US" w:eastAsia="en-US"/>
        </w:rPr>
        <w:t>supports FlowJo v10 import via XML parsing and v10 export via compiled C++ components distributed as Docker containers. CyFj11 is complementary: it adds v11 import capability (unavailable in CytoML) and provides a native-R v10 export path that requires no container infrastructure. For users on standard hardware with v10 workspaces, CytoML remains a viable and well-established option; CyFj11's v10 export offers an alternative for users who encounter difficulties with the CytoML Docker container on current operating systems.</w:t>
      </w:r>
    </w:p>
    <w:p w14:paraId="0DD52B09" w14:textId="77777777" w:rsidR="00F76551" w:rsidRPr="00F76551" w:rsidRDefault="00F76551" w:rsidP="00F76551">
      <w:pPr>
        <w:rPr>
          <w:lang w:val="en-US" w:eastAsia="en-US"/>
        </w:rPr>
      </w:pPr>
    </w:p>
    <w:p w14:paraId="45E0B21D" w14:textId="00F9DCF5" w:rsidR="00F76551" w:rsidRPr="00F76551" w:rsidRDefault="00F76551" w:rsidP="00F76551">
      <w:pPr>
        <w:rPr>
          <w:lang w:val="en-US" w:eastAsia="en-US"/>
        </w:rPr>
      </w:pPr>
      <w:r w:rsidRPr="00F76551">
        <w:rPr>
          <w:lang w:val="en-US" w:eastAsia="en-US"/>
        </w:rPr>
        <w:t xml:space="preserve">openCyto </w:t>
      </w:r>
      <w:r w:rsidRPr="00B91921">
        <w:fldChar w:fldCharType="begin"/>
      </w:r>
      <w:r w:rsidR="000C2A9A">
        <w:rPr>
          <w:lang w:val="en-US"/>
        </w:rPr>
        <w:instrText xml:space="preserve"> ADDIN ZOTERO_ITEM CSL_CITATION {"citationID":"Ct7XHpcD","properties":{"unsorted":false,"formattedCitation":"(6)","plainCitation":"(6)","noteIndex":0},"citationItems":[{"id":19657,"uris":["http://zotero.org/groups/2522180/items/D7WSMW6C"],"itemData":{"id":19657,"type":"article-journal","container-title":"PLoS Computational Biology","DOI":"10.1371/journal.pcbi.1003806","ISSN":"1553-7358","issue":"8","journalAbbreviation":"PLoS Comput Biol","language":"en","page":"e1003806","source":"DOI.org (Crossref)","title":"OpenCyto: An Open Source Infrastructure for Scalable, Robust, Reproducible, and Automated, End-to-End Flow Cytometry Data Analysis","title-short":"OpenCyto","volume":"10","author":[{"family":"Finak","given":"Greg"},{"family":"Frelinger","given":"Jacob"},{"family":"Jiang","given":"Wenxin"},{"family":"Newell","given":"Evan W."},{"family":"Ramey","given":"John"},{"family":"Davis","given":"Mark M."},{"family":"Kalams","given":"Spyros A."},{"family":"De Rosa","given":"Stephen C."},{"family":"Gottardo","given":"Raphael"}],"editor":[{"family":"Prlic","given":"Andreas"}],"issued":{"date-parts":[["2014",8,28]]}}}],"schema":"https://github.com/citation-style-language/schema/raw/master/csl-citation.json"} </w:instrText>
      </w:r>
      <w:r w:rsidRPr="00B91921">
        <w:fldChar w:fldCharType="separate"/>
      </w:r>
      <w:r w:rsidR="000C2A9A">
        <w:rPr>
          <w:noProof/>
          <w:lang w:val="en-US"/>
        </w:rPr>
        <w:t>(6)</w:t>
      </w:r>
      <w:r w:rsidRPr="00B91921">
        <w:fldChar w:fldCharType="end"/>
      </w:r>
      <w:r w:rsidRPr="00F76551">
        <w:rPr>
          <w:lang w:val="en-US" w:eastAsia="en-US"/>
        </w:rPr>
        <w:t xml:space="preserve"> </w:t>
      </w:r>
      <w:r w:rsidRPr="00F76551">
        <w:rPr>
          <w:lang w:val="en-US" w:eastAsia="en-US"/>
        </w:rPr>
        <w:t>provides automated gating algorithms that operate on GatingSet objects; CyFj11 is fully compatible with openCyto workflows, so a FlowJo v11 workspace can serve as a starting point for automated gating refinement.</w:t>
      </w:r>
    </w:p>
    <w:p w14:paraId="581DE511" w14:textId="77777777" w:rsidR="00F76551" w:rsidRPr="00F76551" w:rsidRDefault="00F76551" w:rsidP="00F76551">
      <w:pPr>
        <w:rPr>
          <w:lang w:val="en-US" w:eastAsia="en-US"/>
        </w:rPr>
      </w:pPr>
    </w:p>
    <w:p w14:paraId="0DE9918C" w14:textId="77777777" w:rsidR="00F76551" w:rsidRPr="00F76551" w:rsidRDefault="00F76551" w:rsidP="00F76551">
      <w:pPr>
        <w:rPr>
          <w:lang w:val="en-US" w:eastAsia="en-US"/>
        </w:rPr>
      </w:pPr>
      <w:r w:rsidRPr="00F76551">
        <w:rPr>
          <w:lang w:val="en-US" w:eastAsia="en-US"/>
        </w:rPr>
        <w:t>Full v11 export would require either vendor documentation of the FlowJo v11 JSON schema or a substantially larger reverse-engineering effort than was undertaken here. If BD Biosciences were to provide official schema documentation, implementing a v11 exporter from GatingSet objects would be a natural extension of CyFj11. Until then, the v10 export pathway remains the practical route for returning R-based analyses to FlowJo.</w:t>
      </w:r>
    </w:p>
    <w:p w14:paraId="54816F91" w14:textId="77777777" w:rsidR="00F76551" w:rsidRPr="00F76551" w:rsidRDefault="00F76551" w:rsidP="00F76551">
      <w:pPr>
        <w:rPr>
          <w:lang w:val="en-US" w:eastAsia="en-US"/>
        </w:rPr>
      </w:pPr>
    </w:p>
    <w:p w14:paraId="04A1E100" w14:textId="77777777" w:rsidR="00F76551" w:rsidRPr="00F76551" w:rsidRDefault="00F76551" w:rsidP="00F76551">
      <w:pPr>
        <w:rPr>
          <w:lang w:val="en-US" w:eastAsia="en-US"/>
        </w:rPr>
      </w:pPr>
      <w:r w:rsidRPr="00F76551">
        <w:rPr>
          <w:lang w:val="en-US" w:eastAsia="en-US"/>
        </w:rPr>
        <w:t>Integration with spectral unmixing workflows, mass cytometry (CyTOF) data, and emerging modalities such as imaging mass cytometry represent natural future directions as these data types increasingly flow through FlowJo v11.</w:t>
      </w:r>
    </w:p>
    <w:p w14:paraId="51416FE0" w14:textId="77777777" w:rsidR="00F76551" w:rsidRPr="00F76551" w:rsidRDefault="00F76551" w:rsidP="00F76551">
      <w:pPr>
        <w:rPr>
          <w:lang w:val="en-US" w:eastAsia="en-US"/>
        </w:rPr>
      </w:pPr>
    </w:p>
    <w:p w14:paraId="755DBA96" w14:textId="566DCB07" w:rsidR="00F76551" w:rsidRDefault="00F76551" w:rsidP="00F76551">
      <w:pPr>
        <w:rPr>
          <w:lang w:val="en-US" w:eastAsia="en-US"/>
        </w:rPr>
      </w:pPr>
      <w:r w:rsidRPr="00F76551">
        <w:rPr>
          <w:lang w:val="en-US" w:eastAsia="en-US"/>
        </w:rPr>
        <w:t>The package is maintained as open-source software.</w:t>
      </w:r>
    </w:p>
    <w:p w14:paraId="5C501FEB" w14:textId="77777777" w:rsidR="00F76551" w:rsidRDefault="00F76551" w:rsidP="00F76551">
      <w:pPr>
        <w:rPr>
          <w:lang w:val="en-US" w:eastAsia="en-US"/>
        </w:rPr>
      </w:pPr>
    </w:p>
    <w:p w14:paraId="3F100332" w14:textId="77777777" w:rsidR="00974114" w:rsidRDefault="00F065AE" w:rsidP="00974114">
      <w:r>
        <w:rPr>
          <w:noProof/>
        </w:rPr>
        <w:pict w14:anchorId="79880BAC">
          <v:rect id="_x0000_i1037" alt="" style="width:451.3pt;height:.05pt;mso-width-percent:0;mso-height-percent:0;mso-width-percent:0;mso-height-percent:0" o:hralign="center" o:hrstd="t" o:hr="t" fillcolor="#a0a0a0" stroked="f"/>
        </w:pict>
      </w:r>
    </w:p>
    <w:p w14:paraId="2DA62D98" w14:textId="648E3C22" w:rsidR="008D041B" w:rsidRPr="00977AB2" w:rsidRDefault="0099442C">
      <w:pPr>
        <w:rPr>
          <w:lang w:val="en-US"/>
        </w:rPr>
      </w:pPr>
      <w:r w:rsidRPr="00977AB2">
        <w:rPr>
          <w:lang w:val="en-US"/>
        </w:rPr>
        <w:t xml:space="preserve"> </w:t>
      </w:r>
    </w:p>
    <w:p w14:paraId="3CB200B3" w14:textId="77777777" w:rsidR="00974114" w:rsidRDefault="00974114" w:rsidP="00974114">
      <w:pPr>
        <w:pStyle w:val="Heading1"/>
        <w:rPr>
          <w:rFonts w:ascii="Times New Roman" w:hAnsi="Times New Roman"/>
          <w:lang w:eastAsia="en-GB"/>
        </w:rPr>
      </w:pPr>
      <w:bookmarkStart w:id="8" w:name="conclusion"/>
      <w:bookmarkEnd w:id="6"/>
      <w:bookmarkEnd w:id="7"/>
      <w:r>
        <w:t>Conclusion</w:t>
      </w:r>
    </w:p>
    <w:p w14:paraId="13D19F62" w14:textId="77777777" w:rsidR="00974114" w:rsidRDefault="00974114" w:rsidP="00974114">
      <w:pPr>
        <w:pStyle w:val="NormalWeb"/>
      </w:pPr>
      <w:r>
        <w:t>CyFj11 provides a practical, platform-independent solution for FlowJo v11 / R interoperability. It enables researchers to import modern FlowJo v11 workspaces into R with full gate and transformation support, and to return analyzed data to FlowJo via the well-specified v10 XML format. The pure R implementation eliminates dependencies on compiled code and container infrastructure, ensuring compatibility across all platforms supported by R. While the asymmetric design means that v11-specific features such as quadrant gates and per-sample gate variations cannot be fully round-tripped, the core gating information — population hierarchies, gate coordinates, compensation matrices, and transformation parameters — is preserved with high fidelity. CyFj11 is thus beneficial for the many laboratories that rely on high-dimensional flow cytometry and work across both the FlowJo and R environments.</w:t>
      </w:r>
    </w:p>
    <w:p w14:paraId="6F8258F3" w14:textId="6944EE57" w:rsidR="00684CBC" w:rsidRDefault="00684CBC" w:rsidP="00974114">
      <w:pPr>
        <w:pStyle w:val="NormalWeb"/>
      </w:pPr>
      <w:r>
        <w:t>References</w:t>
      </w:r>
    </w:p>
    <w:p w14:paraId="7F173FF9" w14:textId="77777777" w:rsidR="008D041B" w:rsidRDefault="00F065AE">
      <w:r>
        <w:rPr>
          <w:noProof/>
        </w:rPr>
        <w:pict w14:anchorId="3A529D67">
          <v:rect id="_x0000_i1036" alt="" style="width:451.3pt;height:.05pt;mso-width-percent:0;mso-height-percent:0;mso-width-percent:0;mso-height-percent:0" o:hralign="center" o:hrstd="t" o:hr="t"/>
        </w:pict>
      </w:r>
    </w:p>
    <w:p w14:paraId="1E30055F" w14:textId="77777777" w:rsidR="00F83312" w:rsidRDefault="00F83312"/>
    <w:p w14:paraId="2E3B79CB" w14:textId="77777777" w:rsidR="00F83312" w:rsidRDefault="00F83312"/>
    <w:bookmarkStart w:id="9" w:name="references"/>
    <w:bookmarkEnd w:id="8"/>
    <w:p w14:paraId="4D7717FD" w14:textId="77777777" w:rsidR="000C2A9A" w:rsidRPr="000C2A9A" w:rsidRDefault="00E63467" w:rsidP="000C2A9A">
      <w:pPr>
        <w:pStyle w:val="Bibliography"/>
        <w:rPr>
          <w:rFonts w:eastAsiaTheme="minorHAnsi"/>
          <w:lang w:eastAsia="en-US"/>
        </w:rPr>
      </w:pPr>
      <w:r>
        <w:rPr>
          <w:color w:val="EE0000"/>
        </w:rPr>
        <w:fldChar w:fldCharType="begin"/>
      </w:r>
      <w:r w:rsidR="00F83312">
        <w:rPr>
          <w:color w:val="EE0000"/>
          <w:lang w:val="en-US"/>
        </w:rPr>
        <w:instrText xml:space="preserve"> ADDIN ZOTERO_BIBL {"uncited":[],"omitted":[],"custom":[]} CSL_BIBLIOGRAPHY </w:instrText>
      </w:r>
      <w:r>
        <w:rPr>
          <w:color w:val="EE0000"/>
        </w:rPr>
        <w:fldChar w:fldCharType="separate"/>
      </w:r>
      <w:r w:rsidR="000C2A9A" w:rsidRPr="000C2A9A">
        <w:rPr>
          <w:rFonts w:eastAsiaTheme="minorHAnsi"/>
          <w:lang w:val="en-GB" w:eastAsia="en-US"/>
        </w:rPr>
        <w:t>1.</w:t>
      </w:r>
      <w:r w:rsidR="000C2A9A" w:rsidRPr="000C2A9A">
        <w:rPr>
          <w:rFonts w:eastAsiaTheme="minorHAnsi"/>
          <w:lang w:val="en-GB" w:eastAsia="en-US"/>
        </w:rPr>
        <w:tab/>
        <w:t xml:space="preserve">Maecker HT, McCoy JP, Nussenblatt R. Standardizing immunophenotyping for the Human Immunology Project. </w:t>
      </w:r>
      <w:r w:rsidR="000C2A9A" w:rsidRPr="000C2A9A">
        <w:rPr>
          <w:rFonts w:eastAsiaTheme="minorHAnsi"/>
          <w:lang w:eastAsia="en-US"/>
        </w:rPr>
        <w:t>Nat Rev Immunol. 2012 Mar;12(3):191–200. doi:10.1038/nri3158</w:t>
      </w:r>
    </w:p>
    <w:p w14:paraId="6CE01767" w14:textId="77777777" w:rsidR="000C2A9A" w:rsidRPr="000C2A9A" w:rsidRDefault="000C2A9A" w:rsidP="000C2A9A">
      <w:pPr>
        <w:pStyle w:val="Bibliography"/>
        <w:rPr>
          <w:rFonts w:eastAsiaTheme="minorHAnsi"/>
          <w:lang w:val="en-GB" w:eastAsia="en-US"/>
        </w:rPr>
      </w:pPr>
      <w:r w:rsidRPr="000C2A9A">
        <w:rPr>
          <w:rFonts w:eastAsiaTheme="minorHAnsi"/>
          <w:lang w:eastAsia="en-US"/>
        </w:rPr>
        <w:t>2.</w:t>
      </w:r>
      <w:r w:rsidRPr="000C2A9A">
        <w:rPr>
          <w:rFonts w:eastAsiaTheme="minorHAnsi"/>
          <w:lang w:eastAsia="en-US"/>
        </w:rPr>
        <w:tab/>
        <w:t xml:space="preserve">Patin E, Hasan M, Bergstedt J, Rouilly V, Libri V, Urrutia A, et al. </w:t>
      </w:r>
      <w:r w:rsidRPr="000C2A9A">
        <w:rPr>
          <w:rFonts w:eastAsiaTheme="minorHAnsi"/>
          <w:lang w:val="en-GB" w:eastAsia="en-US"/>
        </w:rPr>
        <w:t>Natural variation in the parameters of innate immune cells is preferentially driven by genetic factors. Nature Immunology. 2018;19(3):302. doi:10.1038/s41590-018-0049-7 PubMed PMID: 29476184.</w:t>
      </w:r>
    </w:p>
    <w:p w14:paraId="6BEECA18" w14:textId="77777777" w:rsidR="000C2A9A" w:rsidRPr="000C2A9A" w:rsidRDefault="000C2A9A" w:rsidP="000C2A9A">
      <w:pPr>
        <w:pStyle w:val="Bibliography"/>
        <w:rPr>
          <w:rFonts w:eastAsiaTheme="minorHAnsi"/>
          <w:lang w:val="en-GB" w:eastAsia="en-US"/>
        </w:rPr>
      </w:pPr>
      <w:r w:rsidRPr="000C2A9A">
        <w:rPr>
          <w:rFonts w:eastAsiaTheme="minorHAnsi"/>
          <w:lang w:val="en-GB" w:eastAsia="en-US"/>
        </w:rPr>
        <w:t>3.</w:t>
      </w:r>
      <w:r w:rsidRPr="000C2A9A">
        <w:rPr>
          <w:rFonts w:eastAsiaTheme="minorHAnsi"/>
          <w:lang w:val="en-GB" w:eastAsia="en-US"/>
        </w:rPr>
        <w:tab/>
        <w:t>FlowJo TM, version 10 &amp; 11. Becton, Dickinson and Company.</w:t>
      </w:r>
    </w:p>
    <w:p w14:paraId="42CBE857" w14:textId="77777777" w:rsidR="000C2A9A" w:rsidRPr="000C2A9A" w:rsidRDefault="000C2A9A" w:rsidP="000C2A9A">
      <w:pPr>
        <w:pStyle w:val="Bibliography"/>
        <w:rPr>
          <w:rFonts w:eastAsiaTheme="minorHAnsi"/>
          <w:lang w:val="en-GB" w:eastAsia="en-US"/>
        </w:rPr>
      </w:pPr>
      <w:r w:rsidRPr="000C2A9A">
        <w:rPr>
          <w:rFonts w:eastAsiaTheme="minorHAnsi"/>
          <w:lang w:eastAsia="en-US"/>
        </w:rPr>
        <w:t>4.</w:t>
      </w:r>
      <w:r w:rsidRPr="000C2A9A">
        <w:rPr>
          <w:rFonts w:eastAsiaTheme="minorHAnsi"/>
          <w:lang w:eastAsia="en-US"/>
        </w:rPr>
        <w:tab/>
        <w:t xml:space="preserve">B. Ellis PH. flowCore [Internet]. </w:t>
      </w:r>
      <w:r w:rsidRPr="000C2A9A">
        <w:rPr>
          <w:rFonts w:eastAsiaTheme="minorHAnsi"/>
          <w:lang w:val="en-GB" w:eastAsia="en-US"/>
        </w:rPr>
        <w:t>Bioconductor; 2017 [cited 2026 Jul 5]. Available from: https://bioconductor.org/packages/flowCore doi:10.18129/B9.BIOC.FLOWCORE</w:t>
      </w:r>
    </w:p>
    <w:p w14:paraId="239D218E" w14:textId="77777777" w:rsidR="000C2A9A" w:rsidRPr="000C2A9A" w:rsidRDefault="000C2A9A" w:rsidP="000C2A9A">
      <w:pPr>
        <w:pStyle w:val="Bibliography"/>
        <w:rPr>
          <w:rFonts w:eastAsiaTheme="minorHAnsi"/>
          <w:lang w:val="en-GB" w:eastAsia="en-US"/>
        </w:rPr>
      </w:pPr>
      <w:r w:rsidRPr="000C2A9A">
        <w:rPr>
          <w:rFonts w:eastAsiaTheme="minorHAnsi"/>
          <w:lang w:val="en-GB" w:eastAsia="en-US"/>
        </w:rPr>
        <w:t>5.</w:t>
      </w:r>
      <w:r w:rsidRPr="000C2A9A">
        <w:rPr>
          <w:rFonts w:eastAsiaTheme="minorHAnsi"/>
          <w:lang w:val="en-GB" w:eastAsia="en-US"/>
        </w:rPr>
        <w:tab/>
        <w:t>Greg Finak MJ. flowWorkspace [Internet]. Bioconductor; 2017 [cited 2026 Jun 25]. Available from: https://bioconductor.org/packages/flowWorkspace doi:10.18129/B9.BIOC.FLOWWORKSPACE</w:t>
      </w:r>
    </w:p>
    <w:p w14:paraId="5E1D1728" w14:textId="77777777" w:rsidR="000C2A9A" w:rsidRPr="000C2A9A" w:rsidRDefault="000C2A9A" w:rsidP="000C2A9A">
      <w:pPr>
        <w:pStyle w:val="Bibliography"/>
        <w:rPr>
          <w:rFonts w:eastAsiaTheme="minorHAnsi"/>
          <w:lang w:val="en-GB" w:eastAsia="en-US"/>
        </w:rPr>
      </w:pPr>
      <w:r w:rsidRPr="000C2A9A">
        <w:rPr>
          <w:rFonts w:eastAsiaTheme="minorHAnsi"/>
          <w:lang w:val="en-GB" w:eastAsia="en-US"/>
        </w:rPr>
        <w:lastRenderedPageBreak/>
        <w:t>6.</w:t>
      </w:r>
      <w:r w:rsidRPr="000C2A9A">
        <w:rPr>
          <w:rFonts w:eastAsiaTheme="minorHAnsi"/>
          <w:lang w:val="en-GB" w:eastAsia="en-US"/>
        </w:rPr>
        <w:tab/>
        <w:t>Finak G, Frelinger J, Jiang W, Newell EW, Ramey J, Davis MM, et al. OpenCyto: An Open Source Infrastructure for Scalable, Robust, Reproducible, and Automated, End-to-End Flow Cytometry Data Analysis. Prlic A, editor. PLoS Comput Biol. 2014 Aug 28;10(8):e1003806. doi:10.1371/journal.pcbi.1003806</w:t>
      </w:r>
    </w:p>
    <w:p w14:paraId="1D0E39D1" w14:textId="77777777" w:rsidR="000C2A9A" w:rsidRPr="000C2A9A" w:rsidRDefault="000C2A9A" w:rsidP="000C2A9A">
      <w:pPr>
        <w:pStyle w:val="Bibliography"/>
        <w:rPr>
          <w:rFonts w:eastAsiaTheme="minorHAnsi"/>
          <w:lang w:val="en-GB" w:eastAsia="en-US"/>
        </w:rPr>
      </w:pPr>
      <w:r w:rsidRPr="000C2A9A">
        <w:rPr>
          <w:rFonts w:eastAsiaTheme="minorHAnsi"/>
          <w:lang w:val="en-GB" w:eastAsia="en-US"/>
        </w:rPr>
        <w:t>7.</w:t>
      </w:r>
      <w:r w:rsidRPr="000C2A9A">
        <w:rPr>
          <w:rFonts w:eastAsiaTheme="minorHAnsi"/>
          <w:lang w:val="en-GB" w:eastAsia="en-US"/>
        </w:rPr>
        <w:tab/>
        <w:t>Spidlen J, Moore W, ISAC Data Standards Task Force, Brinkman RR. ISAC’s Gating</w:t>
      </w:r>
      <w:r w:rsidRPr="000C2A9A">
        <w:rPr>
          <w:rFonts w:ascii="Cambria Math" w:eastAsiaTheme="minorHAnsi" w:hAnsi="Cambria Math" w:cs="Cambria Math"/>
          <w:lang w:val="en-GB" w:eastAsia="en-US"/>
        </w:rPr>
        <w:t>‐</w:t>
      </w:r>
      <w:r w:rsidRPr="000C2A9A">
        <w:rPr>
          <w:rFonts w:eastAsiaTheme="minorHAnsi"/>
          <w:lang w:val="en-GB" w:eastAsia="en-US"/>
        </w:rPr>
        <w:t>ML 2.0 data exchange standard for gating description. Cytometry Pt A. 2015 Jul;87(7):683–7. doi:10.1002/cyto.a.22690</w:t>
      </w:r>
    </w:p>
    <w:p w14:paraId="45CCCA10" w14:textId="77777777" w:rsidR="000C2A9A" w:rsidRPr="000C2A9A" w:rsidRDefault="000C2A9A" w:rsidP="000C2A9A">
      <w:pPr>
        <w:pStyle w:val="Bibliography"/>
        <w:rPr>
          <w:rFonts w:eastAsiaTheme="minorHAnsi"/>
          <w:lang w:val="en-GB" w:eastAsia="en-US"/>
        </w:rPr>
      </w:pPr>
      <w:r w:rsidRPr="000C2A9A">
        <w:rPr>
          <w:rFonts w:eastAsiaTheme="minorHAnsi"/>
          <w:lang w:val="en-GB" w:eastAsia="en-US"/>
        </w:rPr>
        <w:t>8.</w:t>
      </w:r>
      <w:r w:rsidRPr="000C2A9A">
        <w:rPr>
          <w:rFonts w:eastAsiaTheme="minorHAnsi"/>
          <w:lang w:val="en-GB" w:eastAsia="en-US"/>
        </w:rPr>
        <w:tab/>
        <w:t xml:space="preserve">Finak G, Jiang W, Gottardo R. </w:t>
      </w:r>
      <w:r w:rsidRPr="000C2A9A">
        <w:rPr>
          <w:rFonts w:eastAsiaTheme="minorHAnsi"/>
          <w:i/>
          <w:iCs/>
          <w:lang w:val="en-GB" w:eastAsia="en-US"/>
        </w:rPr>
        <w:t>CytoML</w:t>
      </w:r>
      <w:r w:rsidRPr="000C2A9A">
        <w:rPr>
          <w:rFonts w:eastAsiaTheme="minorHAnsi"/>
          <w:lang w:val="en-GB" w:eastAsia="en-US"/>
        </w:rPr>
        <w:t xml:space="preserve"> for cross</w:t>
      </w:r>
      <w:r w:rsidRPr="000C2A9A">
        <w:rPr>
          <w:rFonts w:ascii="Cambria Math" w:eastAsiaTheme="minorHAnsi" w:hAnsi="Cambria Math" w:cs="Cambria Math"/>
          <w:lang w:val="en-GB" w:eastAsia="en-US"/>
        </w:rPr>
        <w:t>‐</w:t>
      </w:r>
      <w:r w:rsidRPr="000C2A9A">
        <w:rPr>
          <w:rFonts w:eastAsiaTheme="minorHAnsi"/>
          <w:lang w:val="en-GB" w:eastAsia="en-US"/>
        </w:rPr>
        <w:t>platform cytometry data sharing. Cytometry Pt A. 2018 Dec;93(12):1189–96. doi:10.1002/cyto.a.23663</w:t>
      </w:r>
    </w:p>
    <w:p w14:paraId="5C70980F" w14:textId="77777777" w:rsidR="000C2A9A" w:rsidRPr="000C2A9A" w:rsidRDefault="000C2A9A" w:rsidP="000C2A9A">
      <w:pPr>
        <w:pStyle w:val="Bibliography"/>
        <w:rPr>
          <w:rFonts w:eastAsiaTheme="minorHAnsi"/>
          <w:lang w:val="en-GB" w:eastAsia="en-US"/>
        </w:rPr>
      </w:pPr>
      <w:r w:rsidRPr="000C2A9A">
        <w:rPr>
          <w:rFonts w:eastAsiaTheme="minorHAnsi"/>
          <w:lang w:val="en-GB" w:eastAsia="en-US"/>
        </w:rPr>
        <w:t>9.</w:t>
      </w:r>
      <w:r w:rsidRPr="000C2A9A">
        <w:rPr>
          <w:rFonts w:eastAsiaTheme="minorHAnsi"/>
          <w:lang w:val="en-GB" w:eastAsia="en-US"/>
        </w:rPr>
        <w:tab/>
        <w:t>Lee JA, Spidlen J, Boyce K, Cai J, Crosbie N, Dalphin M, et al. MIFlowCyt: The minimum information about a flow cytometry experiment. Cytometry Pt A. 2008 Oct;73A(10):926–30. doi:10.1002/cyto.a.20623</w:t>
      </w:r>
    </w:p>
    <w:p w14:paraId="2F510592" w14:textId="668665E4" w:rsidR="000048C0" w:rsidRPr="000048C0" w:rsidRDefault="00E63467" w:rsidP="000C2A9A">
      <w:pPr>
        <w:pStyle w:val="Bibliography"/>
        <w:rPr>
          <w:lang w:val="en-US"/>
        </w:rPr>
      </w:pPr>
      <w:r>
        <w:rPr>
          <w:color w:val="EE0000"/>
        </w:rPr>
        <w:fldChar w:fldCharType="end"/>
      </w:r>
    </w:p>
    <w:p w14:paraId="3FECFE31" w14:textId="2C46B315" w:rsidR="008D041B" w:rsidRDefault="00F065AE" w:rsidP="000048C0">
      <w:pPr>
        <w:pStyle w:val="Heading1"/>
        <w:numPr>
          <w:ilvl w:val="0"/>
          <w:numId w:val="0"/>
        </w:numPr>
        <w:ind w:left="426"/>
      </w:pPr>
      <w:r>
        <w:rPr>
          <w:noProof/>
        </w:rPr>
        <w:pict w14:anchorId="7BFE39C1">
          <v:rect id="_x0000_i1035" alt="" style="width:414.1pt;height:.05pt;mso-width-percent:0;mso-height-percent:0;mso-width-percent:0;mso-height-percent:0" o:hrpct="963" o:hralign="center" o:hrstd="t" o:hr="t"/>
        </w:pict>
      </w:r>
    </w:p>
    <w:p w14:paraId="01E0648A" w14:textId="77777777" w:rsidR="008D041B" w:rsidRDefault="0099442C">
      <w:r>
        <w:br w:type="page"/>
      </w:r>
    </w:p>
    <w:p w14:paraId="73FD98F3" w14:textId="77777777" w:rsidR="003736AA" w:rsidRDefault="003736AA" w:rsidP="003736AA">
      <w:pPr>
        <w:pStyle w:val="Heading1"/>
        <w:rPr>
          <w:rFonts w:ascii="Times New Roman" w:hAnsi="Times New Roman"/>
          <w:lang w:eastAsia="en-GB"/>
        </w:rPr>
      </w:pPr>
      <w:bookmarkStart w:id="10" w:name="annex-a-technical-implementation-details"/>
      <w:bookmarkEnd w:id="9"/>
      <w:r>
        <w:lastRenderedPageBreak/>
        <w:t>Supplementary Files</w:t>
      </w:r>
    </w:p>
    <w:p w14:paraId="62E1A10E" w14:textId="77777777" w:rsidR="003736AA" w:rsidRDefault="003736AA" w:rsidP="003736AA">
      <w:pPr>
        <w:pStyle w:val="NormalWeb"/>
      </w:pPr>
      <w:bookmarkStart w:id="11" w:name="_Hlk233822453"/>
      <w:r>
        <w:rPr>
          <w:rStyle w:val="Strong"/>
        </w:rPr>
        <w:t>Supplementary File 1</w:t>
      </w:r>
      <w:bookmarkEnd w:id="11"/>
      <w:r>
        <w:rPr>
          <w:rStyle w:val="Strong"/>
        </w:rPr>
        <w:t>:</w:t>
      </w:r>
      <w:r>
        <w:t xml:space="preserve"> FlowJo v10 XML vs v11 JSON Architecture Comparison</w:t>
      </w:r>
    </w:p>
    <w:p w14:paraId="04EC7CD1" w14:textId="77777777" w:rsidR="003736AA" w:rsidRDefault="003736AA" w:rsidP="003736AA">
      <w:pPr>
        <w:pStyle w:val="NormalWeb"/>
      </w:pPr>
      <w:r>
        <w:rPr>
          <w:rStyle w:val="Strong"/>
        </w:rPr>
        <w:t>Supplementary File 2:</w:t>
      </w:r>
      <w:r>
        <w:t xml:space="preserve"> Full Validation Methodology and Test Scenario Descriptions</w:t>
      </w:r>
    </w:p>
    <w:p w14:paraId="7F7D1286" w14:textId="77777777" w:rsidR="003736AA" w:rsidRDefault="003736AA" w:rsidP="003736AA">
      <w:pPr>
        <w:pStyle w:val="NormalWeb"/>
      </w:pPr>
      <w:r>
        <w:rPr>
          <w:rStyle w:val="Strong"/>
        </w:rPr>
        <w:t>Supplementary File 3:</w:t>
      </w:r>
      <w:r>
        <w:t xml:space="preserve"> MIFlowCyt Compliance Audit</w:t>
      </w:r>
    </w:p>
    <w:p w14:paraId="7C3C8C26" w14:textId="50A0774D" w:rsidR="003736AA" w:rsidRDefault="003736AA" w:rsidP="003736AA">
      <w:pPr>
        <w:pStyle w:val="NormalWeb"/>
      </w:pPr>
      <w:r>
        <w:rPr>
          <w:rStyle w:val="Strong"/>
        </w:rPr>
        <w:t>Supplementary Table S1:</w:t>
      </w:r>
      <w:r>
        <w:t xml:space="preserve"> Complete Population Count Results for All 1</w:t>
      </w:r>
      <w:r w:rsidR="001F4201">
        <w:t>4</w:t>
      </w:r>
      <w:r>
        <w:t xml:space="preserve"> Validation Scenarios</w:t>
      </w:r>
    </w:p>
    <w:p w14:paraId="39D9762E" w14:textId="77777777" w:rsidR="003736AA" w:rsidRDefault="003736AA" w:rsidP="003736AA">
      <w:pPr>
        <w:pStyle w:val="NormalWeb"/>
      </w:pPr>
      <w:r>
        <w:rPr>
          <w:rStyle w:val="Strong"/>
        </w:rPr>
        <w:t>Supplementary File 4:</w:t>
      </w:r>
      <w:r>
        <w:t xml:space="preserve"> Gating-ML 2.0 Conformance Validation Script Output</w:t>
      </w:r>
    </w:p>
    <w:p w14:paraId="66979D99" w14:textId="77777777" w:rsidR="003736AA" w:rsidRDefault="00F065AE" w:rsidP="003736AA">
      <w:r>
        <w:rPr>
          <w:noProof/>
        </w:rPr>
        <w:pict w14:anchorId="747E1545">
          <v:rect id="_x0000_i1034" alt="" style="width:451.3pt;height:.05pt;mso-width-percent:0;mso-height-percent:0;mso-width-percent:0;mso-height-percent:0" o:hralign="center" o:hrstd="t" o:hr="t" fillcolor="#a0a0a0" stroked="f"/>
        </w:pict>
      </w:r>
    </w:p>
    <w:p w14:paraId="738F6D1B" w14:textId="77777777" w:rsidR="003736AA" w:rsidRDefault="003736AA" w:rsidP="003736AA">
      <w:pPr>
        <w:pStyle w:val="Heading1"/>
        <w:numPr>
          <w:ilvl w:val="0"/>
          <w:numId w:val="0"/>
        </w:numPr>
        <w:ind w:left="426"/>
      </w:pPr>
    </w:p>
    <w:p w14:paraId="187DA13B" w14:textId="316757FF" w:rsidR="008D041B" w:rsidRPr="00431A34" w:rsidRDefault="000048C0" w:rsidP="000048C0">
      <w:pPr>
        <w:pStyle w:val="Heading1"/>
        <w:numPr>
          <w:ilvl w:val="0"/>
          <w:numId w:val="0"/>
        </w:numPr>
        <w:ind w:left="426"/>
        <w:rPr>
          <w:lang w:val="en-US"/>
        </w:rPr>
      </w:pPr>
      <w:r w:rsidRPr="00431A34">
        <w:rPr>
          <w:rStyle w:val="Strong"/>
          <w:lang w:val="en-US"/>
        </w:rPr>
        <w:t>Supplementary File 1</w:t>
      </w:r>
      <w:r w:rsidR="0099442C" w:rsidRPr="00431A34">
        <w:rPr>
          <w:lang w:val="en-US"/>
        </w:rPr>
        <w:t>: Technical Implementation Details</w:t>
      </w:r>
    </w:p>
    <w:p w14:paraId="269F1686" w14:textId="77777777" w:rsidR="008D041B" w:rsidRPr="00977AB2" w:rsidRDefault="0099442C">
      <w:pPr>
        <w:rPr>
          <w:lang w:val="en-US"/>
        </w:rPr>
      </w:pPr>
      <w:r w:rsidRPr="00977AB2">
        <w:rPr>
          <w:i/>
          <w:iCs/>
          <w:lang w:val="en-US"/>
        </w:rPr>
        <w:t>This annex contains information for readers interested in the technical architecture of CyFj11. It is not required for understanding the package’s capabilities or workflow.</w:t>
      </w:r>
    </w:p>
    <w:p w14:paraId="402FE51A" w14:textId="77777777" w:rsidR="008D041B" w:rsidRDefault="0099442C">
      <w:pPr>
        <w:pStyle w:val="Heading2"/>
      </w:pPr>
      <w:bookmarkStart w:id="12" w:name="a.1-flowjo-workspace-format-comparison"/>
      <w:r>
        <w:t>A.1 FlowJo workspace format comparison</w:t>
      </w:r>
    </w:p>
    <w:p w14:paraId="0874E8CC" w14:textId="77777777" w:rsidR="008D041B" w:rsidRPr="00977AB2" w:rsidRDefault="0099442C">
      <w:pPr>
        <w:rPr>
          <w:lang w:val="en-US"/>
        </w:rPr>
      </w:pPr>
      <w:r w:rsidRPr="00977AB2">
        <w:rPr>
          <w:b/>
          <w:bCs/>
          <w:lang w:val="en-US"/>
        </w:rPr>
        <w:t>FlowJo v10 (.wsp)</w:t>
      </w:r>
      <w:r w:rsidRPr="00977AB2">
        <w:rPr>
          <w:lang w:val="en-US"/>
        </w:rPr>
        <w:t xml:space="preserve"> is a single XML file following the ISAC Gating-ML 2.0 standard. The hierarchical structure contains &lt;Workspace&gt;, &lt;SampleList&gt;, &lt;Groups&gt;, and &lt;Population&gt; elements. Gates are expressed as Gating-ML elements (&lt;gating:RectangleGate&gt;, &lt;gating:PolygonGate&gt;, etc.) with coordinate transformations specified in dedicated elements. The format is human-readable, well-documented, and validated by the community.</w:t>
      </w:r>
    </w:p>
    <w:p w14:paraId="08137F21" w14:textId="77777777" w:rsidR="008D041B" w:rsidRPr="00977AB2" w:rsidRDefault="0099442C">
      <w:pPr>
        <w:rPr>
          <w:lang w:val="en-US"/>
        </w:rPr>
      </w:pPr>
      <w:r w:rsidRPr="00977AB2">
        <w:rPr>
          <w:b/>
          <w:bCs/>
          <w:lang w:val="en-US"/>
        </w:rPr>
        <w:t>FlowJo v11 (.flowjo)</w:t>
      </w:r>
      <w:r w:rsidRPr="00977AB2">
        <w:rPr>
          <w:lang w:val="en-US"/>
        </w:rPr>
        <w:t xml:space="preserve"> is a ZIP archive containing JSON files (analysis-*.json, manifest.txt). The JSON schema uses UUID-based cross-referencing: populationDefinitions (gate geometry), populations (sample-specific instances with statistics), dataSources (FCS file references), and groups (sample collections) are separate entities linked by UUIDs. Transformations are embedded within axis definitions rather than stored separately. The format is proprietary and not publicly documented.</w:t>
      </w:r>
    </w:p>
    <w:p w14:paraId="6F00BE1F" w14:textId="77777777" w:rsidR="008D041B" w:rsidRPr="00977AB2" w:rsidRDefault="0099442C">
      <w:pPr>
        <w:rPr>
          <w:lang w:val="en-US"/>
        </w:rPr>
      </w:pPr>
      <w:r w:rsidRPr="00977AB2">
        <w:rPr>
          <w:lang w:val="en-US"/>
        </w:rPr>
        <w:t>Key structural differences that constrain the design of CyFj11:</w:t>
      </w:r>
    </w:p>
    <w:tbl>
      <w:tblPr>
        <w:tblW w:w="5000" w:type="pct"/>
        <w:tblLayout w:type="fixed"/>
        <w:tblLook w:val="0020" w:firstRow="1" w:lastRow="0" w:firstColumn="0" w:lastColumn="0" w:noHBand="0" w:noVBand="0"/>
      </w:tblPr>
      <w:tblGrid>
        <w:gridCol w:w="3024"/>
        <w:gridCol w:w="3024"/>
        <w:gridCol w:w="3024"/>
      </w:tblGrid>
      <w:tr w:rsidR="008D041B" w14:paraId="704BBFEE" w14:textId="77777777">
        <w:trPr>
          <w:tblHeader/>
        </w:trPr>
        <w:tc>
          <w:tcPr>
            <w:tcW w:w="2640" w:type="dxa"/>
          </w:tcPr>
          <w:p w14:paraId="0A8AA0C1" w14:textId="77777777" w:rsidR="008D041B" w:rsidRDefault="0099442C">
            <w:r>
              <w:t>Aspect</w:t>
            </w:r>
          </w:p>
        </w:tc>
        <w:tc>
          <w:tcPr>
            <w:tcW w:w="2640" w:type="dxa"/>
          </w:tcPr>
          <w:p w14:paraId="0345B866" w14:textId="77777777" w:rsidR="008D041B" w:rsidRDefault="0099442C">
            <w:r>
              <w:t>v10 (XML)</w:t>
            </w:r>
          </w:p>
        </w:tc>
        <w:tc>
          <w:tcPr>
            <w:tcW w:w="2640" w:type="dxa"/>
          </w:tcPr>
          <w:p w14:paraId="24BFE1F2" w14:textId="77777777" w:rsidR="008D041B" w:rsidRDefault="0099442C">
            <w:r>
              <w:t>v11 (JSON)</w:t>
            </w:r>
          </w:p>
        </w:tc>
      </w:tr>
      <w:tr w:rsidR="008D041B" w:rsidRPr="00431A34" w14:paraId="41C2F74E" w14:textId="77777777">
        <w:tc>
          <w:tcPr>
            <w:tcW w:w="2640" w:type="dxa"/>
          </w:tcPr>
          <w:p w14:paraId="250EF517" w14:textId="77777777" w:rsidR="008D041B" w:rsidRDefault="0099442C">
            <w:r>
              <w:t>Format</w:t>
            </w:r>
          </w:p>
        </w:tc>
        <w:tc>
          <w:tcPr>
            <w:tcW w:w="2640" w:type="dxa"/>
          </w:tcPr>
          <w:p w14:paraId="49DD2EEC" w14:textId="77777777" w:rsidR="008D041B" w:rsidRDefault="0099442C">
            <w:r>
              <w:t>Single XML file</w:t>
            </w:r>
          </w:p>
        </w:tc>
        <w:tc>
          <w:tcPr>
            <w:tcW w:w="2640" w:type="dxa"/>
          </w:tcPr>
          <w:p w14:paraId="455DFD15" w14:textId="77777777" w:rsidR="008D041B" w:rsidRPr="00977AB2" w:rsidRDefault="0099442C">
            <w:pPr>
              <w:rPr>
                <w:lang w:val="en-US"/>
              </w:rPr>
            </w:pPr>
            <w:r w:rsidRPr="00977AB2">
              <w:rPr>
                <w:lang w:val="en-US"/>
              </w:rPr>
              <w:t>ZIP with multiple JSON files</w:t>
            </w:r>
          </w:p>
        </w:tc>
      </w:tr>
      <w:tr w:rsidR="008D041B" w14:paraId="6765D3AC" w14:textId="77777777">
        <w:tc>
          <w:tcPr>
            <w:tcW w:w="2640" w:type="dxa"/>
          </w:tcPr>
          <w:p w14:paraId="6F963BA8" w14:textId="77777777" w:rsidR="008D041B" w:rsidRDefault="0099442C">
            <w:r>
              <w:t>Standard</w:t>
            </w:r>
          </w:p>
        </w:tc>
        <w:tc>
          <w:tcPr>
            <w:tcW w:w="2640" w:type="dxa"/>
          </w:tcPr>
          <w:p w14:paraId="717B9171" w14:textId="77777777" w:rsidR="008D041B" w:rsidRDefault="0099442C">
            <w:r>
              <w:t>Gating-ML 2.0 (published)</w:t>
            </w:r>
          </w:p>
        </w:tc>
        <w:tc>
          <w:tcPr>
            <w:tcW w:w="2640" w:type="dxa"/>
          </w:tcPr>
          <w:p w14:paraId="2C878E2B" w14:textId="77777777" w:rsidR="008D041B" w:rsidRDefault="0099442C">
            <w:r>
              <w:t>Proprietary (undocumented)</w:t>
            </w:r>
          </w:p>
        </w:tc>
      </w:tr>
      <w:tr w:rsidR="008D041B" w14:paraId="3E5D0E24" w14:textId="77777777">
        <w:tc>
          <w:tcPr>
            <w:tcW w:w="2640" w:type="dxa"/>
          </w:tcPr>
          <w:p w14:paraId="48765556" w14:textId="77777777" w:rsidR="008D041B" w:rsidRDefault="0099442C">
            <w:r>
              <w:t>Gate representation</w:t>
            </w:r>
          </w:p>
        </w:tc>
        <w:tc>
          <w:tcPr>
            <w:tcW w:w="2640" w:type="dxa"/>
          </w:tcPr>
          <w:p w14:paraId="7EB494A3" w14:textId="77777777" w:rsidR="008D041B" w:rsidRDefault="0099442C">
            <w:r>
              <w:t>Nested XML elements</w:t>
            </w:r>
          </w:p>
        </w:tc>
        <w:tc>
          <w:tcPr>
            <w:tcW w:w="2640" w:type="dxa"/>
          </w:tcPr>
          <w:p w14:paraId="70B72D98" w14:textId="77777777" w:rsidR="008D041B" w:rsidRDefault="0099442C">
            <w:r>
              <w:t>UUID-linked JSON objects</w:t>
            </w:r>
          </w:p>
        </w:tc>
      </w:tr>
      <w:tr w:rsidR="008D041B" w14:paraId="17E6450A" w14:textId="77777777">
        <w:tc>
          <w:tcPr>
            <w:tcW w:w="2640" w:type="dxa"/>
          </w:tcPr>
          <w:p w14:paraId="12F4408A" w14:textId="77777777" w:rsidR="008D041B" w:rsidRDefault="0099442C">
            <w:r>
              <w:t>Transformation storage</w:t>
            </w:r>
          </w:p>
        </w:tc>
        <w:tc>
          <w:tcPr>
            <w:tcW w:w="2640" w:type="dxa"/>
          </w:tcPr>
          <w:p w14:paraId="3F5CB038" w14:textId="77777777" w:rsidR="008D041B" w:rsidRDefault="0099442C">
            <w:r>
              <w:t>Separate elements</w:t>
            </w:r>
          </w:p>
        </w:tc>
        <w:tc>
          <w:tcPr>
            <w:tcW w:w="2640" w:type="dxa"/>
          </w:tcPr>
          <w:p w14:paraId="61E13620" w14:textId="77777777" w:rsidR="008D041B" w:rsidRDefault="0099442C">
            <w:r>
              <w:t>Embedded in axis definitions</w:t>
            </w:r>
          </w:p>
        </w:tc>
      </w:tr>
      <w:tr w:rsidR="008D041B" w14:paraId="2607EE9A" w14:textId="77777777">
        <w:tc>
          <w:tcPr>
            <w:tcW w:w="2640" w:type="dxa"/>
          </w:tcPr>
          <w:p w14:paraId="77F35B2F" w14:textId="77777777" w:rsidR="008D041B" w:rsidRDefault="0099442C">
            <w:r>
              <w:t>Per-sample variation</w:t>
            </w:r>
          </w:p>
        </w:tc>
        <w:tc>
          <w:tcPr>
            <w:tcW w:w="2640" w:type="dxa"/>
          </w:tcPr>
          <w:p w14:paraId="4DFE1003" w14:textId="77777777" w:rsidR="008D041B" w:rsidRDefault="0099442C">
            <w:r>
              <w:t>Not supported</w:t>
            </w:r>
          </w:p>
        </w:tc>
        <w:tc>
          <w:tcPr>
            <w:tcW w:w="2640" w:type="dxa"/>
          </w:tcPr>
          <w:p w14:paraId="26B9192F" w14:textId="77777777" w:rsidR="008D041B" w:rsidRDefault="0099442C">
            <w:r>
              <w:t>desyncTable mechanism</w:t>
            </w:r>
          </w:p>
        </w:tc>
      </w:tr>
      <w:tr w:rsidR="008D041B" w14:paraId="1BC57405" w14:textId="77777777">
        <w:tc>
          <w:tcPr>
            <w:tcW w:w="2640" w:type="dxa"/>
          </w:tcPr>
          <w:p w14:paraId="19594B36" w14:textId="77777777" w:rsidR="008D041B" w:rsidRDefault="0099442C">
            <w:r>
              <w:t>Population hierarchy</w:t>
            </w:r>
          </w:p>
        </w:tc>
        <w:tc>
          <w:tcPr>
            <w:tcW w:w="2640" w:type="dxa"/>
          </w:tcPr>
          <w:p w14:paraId="11A7121D" w14:textId="77777777" w:rsidR="008D041B" w:rsidRDefault="0099442C">
            <w:r>
              <w:t>Nested XML</w:t>
            </w:r>
          </w:p>
        </w:tc>
        <w:tc>
          <w:tcPr>
            <w:tcW w:w="2640" w:type="dxa"/>
          </w:tcPr>
          <w:p w14:paraId="516E9E8D" w14:textId="77777777" w:rsidR="008D041B" w:rsidRDefault="0099442C">
            <w:r>
              <w:t>Parent/child UUID references</w:t>
            </w:r>
          </w:p>
        </w:tc>
      </w:tr>
    </w:tbl>
    <w:p w14:paraId="0100B3C5" w14:textId="77777777" w:rsidR="008D041B" w:rsidRPr="00977AB2" w:rsidRDefault="0099442C">
      <w:pPr>
        <w:rPr>
          <w:lang w:val="en-US"/>
        </w:rPr>
      </w:pPr>
      <w:r w:rsidRPr="00977AB2">
        <w:rPr>
          <w:lang w:val="en-US"/>
        </w:rPr>
        <w:t>The v11 JSON schema contains  top-level entity types including: groups, dataSources, populationDefinitions, populations, compoundParameterSets, compoundPopulations, paramsetDefinitions, platforms, cytometers, and analysisRoot. Each entity maintains cross-reference sections (parents, children, results) that link to other entities by UUID. A single group entity, for example, carries parent and child references to all other entity types, requiring that any write operation maintain global UUID consistency across the entire workspace graph. By contrast, the v10 XML schema uses nested containment: a &lt;Population&gt; element that contains its &lt;Gate&gt; is self-contained and does not require references to be resolved elsewhere in the document.</w:t>
      </w:r>
    </w:p>
    <w:p w14:paraId="12FD38C7" w14:textId="77777777" w:rsidR="008D041B" w:rsidRPr="00977AB2" w:rsidRDefault="0099442C">
      <w:pPr>
        <w:rPr>
          <w:lang w:val="en-US"/>
        </w:rPr>
      </w:pPr>
      <w:r w:rsidRPr="00977AB2">
        <w:rPr>
          <w:lang w:val="en-US"/>
        </w:rPr>
        <w:lastRenderedPageBreak/>
        <w:t>The complexity of constructing a valid v11 export — requiring the generation of a consistent UUID dependency graph across all 10 entity types — is the primary technical barrier to implementing v11 export.</w:t>
      </w:r>
    </w:p>
    <w:p w14:paraId="1777E437" w14:textId="77777777" w:rsidR="008D041B" w:rsidRDefault="0099442C">
      <w:pPr>
        <w:pStyle w:val="Heading2"/>
      </w:pPr>
      <w:bookmarkStart w:id="13" w:name="a.2-gate-type-conversion"/>
      <w:bookmarkEnd w:id="12"/>
      <w:r>
        <w:t>A.2 Gate type conversion</w:t>
      </w:r>
    </w:p>
    <w:p w14:paraId="6D7AE09E" w14:textId="77777777" w:rsidR="008D041B" w:rsidRDefault="0099442C">
      <w:pPr>
        <w:pStyle w:val="Heading3"/>
      </w:pPr>
      <w:bookmarkStart w:id="14" w:name="rectangle-gates"/>
      <w:r>
        <w:t>Rectangle gates</w:t>
      </w:r>
    </w:p>
    <w:p w14:paraId="1E07EC4C" w14:textId="77777777" w:rsidR="008D041B" w:rsidRPr="00977AB2" w:rsidRDefault="0099442C">
      <w:pPr>
        <w:rPr>
          <w:lang w:val="en-US"/>
        </w:rPr>
      </w:pPr>
      <w:r w:rsidRPr="00977AB2">
        <w:rPr>
          <w:lang w:val="en-US"/>
        </w:rPr>
        <w:t>v11 rectangle gates define min/max boundaries per parameter. On import, these are converted to flowCore::rectangleGate objects. On export to v10, they are written as &lt;gating:RectangleGate&gt; elements with &lt;gating:dimension&gt; children specifying gating:min and gating:max attributes.</w:t>
      </w:r>
    </w:p>
    <w:p w14:paraId="3100E811" w14:textId="77777777" w:rsidR="008D041B" w:rsidRDefault="0099442C">
      <w:r w:rsidRPr="00977AB2">
        <w:rPr>
          <w:lang w:val="en-US"/>
        </w:rPr>
        <w:t xml:space="preserve">1D rectangle gates (range gates in v11 terminology) are imported as rectangleGate objects with one bounded and one unbounded dimension. </w:t>
      </w:r>
      <w:r>
        <w:t>They are exported using the same &lt;gating:RectangleGate&gt; structure.</w:t>
      </w:r>
    </w:p>
    <w:p w14:paraId="0AD3A075" w14:textId="77777777" w:rsidR="008D041B" w:rsidRDefault="0099442C">
      <w:pPr>
        <w:pStyle w:val="Heading3"/>
      </w:pPr>
      <w:bookmarkStart w:id="15" w:name="polygon-gates"/>
      <w:bookmarkEnd w:id="14"/>
      <w:r>
        <w:t>Polygon gates</w:t>
      </w:r>
    </w:p>
    <w:p w14:paraId="73BF5888" w14:textId="77777777" w:rsidR="008D041B" w:rsidRPr="00977AB2" w:rsidRDefault="0099442C">
      <w:pPr>
        <w:rPr>
          <w:lang w:val="en-US"/>
        </w:rPr>
      </w:pPr>
      <w:r w:rsidRPr="00977AB2">
        <w:rPr>
          <w:lang w:val="en-US"/>
        </w:rPr>
        <w:t>v11 polygon gates store vertex coordinates as arrays of [x, y] pairs. On import, vertices are converted to a flowCore::polygonGate matrix. Coordinate inverse-transformation is applied to map from display space to data space. On export, vertices are written as &lt;gating:vertex&gt; elements within &lt;gating:PolygonGate&gt;.</w:t>
      </w:r>
    </w:p>
    <w:p w14:paraId="0EB443CF" w14:textId="77777777" w:rsidR="008D041B" w:rsidRDefault="0099442C">
      <w:pPr>
        <w:pStyle w:val="Heading3"/>
      </w:pPr>
      <w:bookmarkStart w:id="16" w:name="ellipsoid-gates"/>
      <w:bookmarkEnd w:id="15"/>
      <w:r>
        <w:t>Ellipsoid gates</w:t>
      </w:r>
    </w:p>
    <w:p w14:paraId="349A0CFB" w14:textId="77777777" w:rsidR="008D041B" w:rsidRPr="00977AB2" w:rsidRDefault="0099442C">
      <w:pPr>
        <w:rPr>
          <w:lang w:val="en-US"/>
        </w:rPr>
      </w:pPr>
      <w:r w:rsidRPr="00977AB2">
        <w:rPr>
          <w:lang w:val="en-US"/>
        </w:rPr>
        <w:t>v11 ellipsoid gates are parameterized by a mean vector and covariance matrix. On import, these are converted to flowCore::ellipsoidGate objects. On export to v10, eigenvalue decomposition is applied to derive rotation angle and semi-axis lengths for the &lt;gating:EllipsoidGate&gt; representation. This decomposition introduces minor numerical differences relative to the original v11 gate.</w:t>
      </w:r>
    </w:p>
    <w:p w14:paraId="14F0B62E" w14:textId="77777777" w:rsidR="008D041B" w:rsidRDefault="0099442C">
      <w:pPr>
        <w:pStyle w:val="Heading3"/>
      </w:pPr>
      <w:bookmarkStart w:id="17" w:name="boolean-gates"/>
      <w:bookmarkEnd w:id="16"/>
      <w:r>
        <w:t>Boolean gates</w:t>
      </w:r>
    </w:p>
    <w:p w14:paraId="7189B0A4" w14:textId="77777777" w:rsidR="008D041B" w:rsidRPr="00977AB2" w:rsidRDefault="0099442C">
      <w:pPr>
        <w:rPr>
          <w:lang w:val="en-US"/>
        </w:rPr>
      </w:pPr>
      <w:r w:rsidRPr="00977AB2">
        <w:rPr>
          <w:lang w:val="en-US"/>
        </w:rPr>
        <w:t>v11 Boolean gates reference other gates by UUID and specify AND/OR/NOT combinations. On import, UUID references are resolved to population paths and a flowCore::booleanFilter is constructed. On export, Boolean logic is preserved in &lt;gating:BooleanGate&gt; elements referencing gates by population path.</w:t>
      </w:r>
    </w:p>
    <w:p w14:paraId="4A4A6AAE" w14:textId="77777777" w:rsidR="008D041B" w:rsidRDefault="0099442C">
      <w:pPr>
        <w:pStyle w:val="Heading3"/>
      </w:pPr>
      <w:bookmarkStart w:id="18" w:name="quadrant-gates"/>
      <w:bookmarkEnd w:id="17"/>
      <w:r>
        <w:t>Quadrant gates</w:t>
      </w:r>
    </w:p>
    <w:p w14:paraId="23EB6CA7" w14:textId="77777777" w:rsidR="008D041B" w:rsidRPr="00977AB2" w:rsidRDefault="0099442C">
      <w:pPr>
        <w:rPr>
          <w:lang w:val="en-US"/>
        </w:rPr>
      </w:pPr>
      <w:r w:rsidRPr="00977AB2">
        <w:rPr>
          <w:lang w:val="en-US"/>
        </w:rPr>
        <w:t xml:space="preserve">v11 quadrant gates define dividing lines on two axes, producing four quadrant populations. On import, CyFj11 converts each quadrant into a flowCore::quadGate object. On export to v10, quadrant gates have no direct XML representation in the format CyFj11 generates and are excluded with a warning. </w:t>
      </w:r>
    </w:p>
    <w:p w14:paraId="19B41B89" w14:textId="77777777" w:rsidR="008D041B" w:rsidRDefault="0099442C">
      <w:pPr>
        <w:pStyle w:val="Heading2"/>
      </w:pPr>
      <w:bookmarkStart w:id="19" w:name="a.3-transformation-parameter-mapping"/>
      <w:bookmarkEnd w:id="13"/>
      <w:bookmarkEnd w:id="18"/>
      <w:r>
        <w:t>A.3 Transformation parameter mapping</w:t>
      </w:r>
    </w:p>
    <w:p w14:paraId="2D911A95" w14:textId="77777777" w:rsidR="008D041B" w:rsidRPr="00977AB2" w:rsidRDefault="0099442C">
      <w:pPr>
        <w:rPr>
          <w:lang w:val="en-US"/>
        </w:rPr>
      </w:pPr>
      <w:r w:rsidRPr="00977AB2">
        <w:rPr>
          <w:lang w:val="en-US"/>
        </w:rPr>
        <w:t>All transformations are extracted from v11 axis definitions and converted to the corresponding flowCore transformation objects on import. On export to v10, they are written as &lt;transforms:*&gt; elements with the appropriate parameter attributes.</w:t>
      </w:r>
    </w:p>
    <w:p w14:paraId="32B5885E" w14:textId="77777777" w:rsidR="008D041B" w:rsidRPr="00977AB2" w:rsidRDefault="0099442C">
      <w:pPr>
        <w:rPr>
          <w:lang w:val="en-US"/>
        </w:rPr>
      </w:pPr>
      <w:r w:rsidRPr="00977AB2">
        <w:rPr>
          <w:b/>
          <w:bCs/>
          <w:lang w:val="en-US"/>
        </w:rPr>
        <w:t>Display-space versus data-space values:</w:t>
      </w:r>
      <w:r w:rsidRPr="00977AB2">
        <w:rPr>
          <w:lang w:val="en-US"/>
        </w:rPr>
        <w:t xml:space="preserve"> An important distinction when working with FlowJo transformations is that FlowJo displays gate coordinates in </w:t>
      </w:r>
      <w:r w:rsidRPr="00977AB2">
        <w:rPr>
          <w:i/>
          <w:iCs/>
          <w:lang w:val="en-US"/>
        </w:rPr>
        <w:t>display space</w:t>
      </w:r>
      <w:r w:rsidRPr="00977AB2">
        <w:rPr>
          <w:lang w:val="en-US"/>
        </w:rPr>
        <w:t xml:space="preserve"> (the transformed, scaled axis values shown on screen), while flowCore and the Gating-ML 2.0 standard store gate coordinates in </w:t>
      </w:r>
      <w:r w:rsidRPr="00977AB2">
        <w:rPr>
          <w:i/>
          <w:iCs/>
          <w:lang w:val="en-US"/>
        </w:rPr>
        <w:t>data space</w:t>
      </w:r>
      <w:r w:rsidRPr="00977AB2">
        <w:rPr>
          <w:lang w:val="en-US"/>
        </w:rPr>
        <w:t xml:space="preserve"> (raw channel values). CyFj11 handles the inverse transformation from display space to data space during import for gate coordinate extraction, and applies the forward transformation during export. Users inspecting gate coordinates directly in the v10 XML should be aware that these are in data space and will differ from the values shown on FlowJo’s axis.</w:t>
      </w:r>
    </w:p>
    <w:tbl>
      <w:tblPr>
        <w:tblW w:w="5000" w:type="pct"/>
        <w:tblLayout w:type="fixed"/>
        <w:tblLook w:val="0020" w:firstRow="1" w:lastRow="0" w:firstColumn="0" w:lastColumn="0" w:noHBand="0" w:noVBand="0"/>
      </w:tblPr>
      <w:tblGrid>
        <w:gridCol w:w="2268"/>
        <w:gridCol w:w="2268"/>
        <w:gridCol w:w="2268"/>
        <w:gridCol w:w="2268"/>
      </w:tblGrid>
      <w:tr w:rsidR="008D041B" w14:paraId="4DB6DA12" w14:textId="77777777">
        <w:trPr>
          <w:tblHeader/>
        </w:trPr>
        <w:tc>
          <w:tcPr>
            <w:tcW w:w="1980" w:type="dxa"/>
          </w:tcPr>
          <w:p w14:paraId="793D4780" w14:textId="77777777" w:rsidR="008D041B" w:rsidRPr="00C54088" w:rsidRDefault="0099442C">
            <w:pPr>
              <w:rPr>
                <w:color w:val="EE0000"/>
              </w:rPr>
            </w:pPr>
            <w:r w:rsidRPr="00C54088">
              <w:rPr>
                <w:color w:val="EE0000"/>
              </w:rPr>
              <w:lastRenderedPageBreak/>
              <w:t>Transformation</w:t>
            </w:r>
          </w:p>
        </w:tc>
        <w:tc>
          <w:tcPr>
            <w:tcW w:w="1980" w:type="dxa"/>
          </w:tcPr>
          <w:p w14:paraId="3EECF309" w14:textId="77777777" w:rsidR="008D041B" w:rsidRPr="00C54088" w:rsidRDefault="0099442C">
            <w:pPr>
              <w:rPr>
                <w:color w:val="EE0000"/>
              </w:rPr>
            </w:pPr>
            <w:r w:rsidRPr="00C54088">
              <w:rPr>
                <w:color w:val="EE0000"/>
              </w:rPr>
              <w:t>v11 parameter names</w:t>
            </w:r>
          </w:p>
        </w:tc>
        <w:tc>
          <w:tcPr>
            <w:tcW w:w="1980" w:type="dxa"/>
          </w:tcPr>
          <w:p w14:paraId="23346B93" w14:textId="77777777" w:rsidR="008D041B" w:rsidRPr="00C54088" w:rsidRDefault="0099442C">
            <w:pPr>
              <w:rPr>
                <w:color w:val="EE0000"/>
              </w:rPr>
            </w:pPr>
            <w:r w:rsidRPr="00C54088">
              <w:rPr>
                <w:color w:val="EE0000"/>
              </w:rPr>
              <w:t>v10 / flowCore parameter names</w:t>
            </w:r>
          </w:p>
        </w:tc>
        <w:tc>
          <w:tcPr>
            <w:tcW w:w="1980" w:type="dxa"/>
          </w:tcPr>
          <w:p w14:paraId="2D0FAEEF" w14:textId="77777777" w:rsidR="008D041B" w:rsidRPr="00C54088" w:rsidRDefault="0099442C">
            <w:pPr>
              <w:rPr>
                <w:color w:val="EE0000"/>
              </w:rPr>
            </w:pPr>
            <w:r w:rsidRPr="00C54088">
              <w:rPr>
                <w:color w:val="EE0000"/>
              </w:rPr>
              <w:t>Notes</w:t>
            </w:r>
          </w:p>
        </w:tc>
      </w:tr>
      <w:tr w:rsidR="008D041B" w14:paraId="05523484" w14:textId="77777777">
        <w:tc>
          <w:tcPr>
            <w:tcW w:w="1980" w:type="dxa"/>
          </w:tcPr>
          <w:p w14:paraId="7AD8B6CF" w14:textId="77777777" w:rsidR="008D041B" w:rsidRPr="00C54088" w:rsidRDefault="0099442C">
            <w:pPr>
              <w:rPr>
                <w:color w:val="EE0000"/>
              </w:rPr>
            </w:pPr>
            <w:r w:rsidRPr="00C54088">
              <w:rPr>
                <w:color w:val="EE0000"/>
              </w:rPr>
              <w:t>Biexponential</w:t>
            </w:r>
          </w:p>
        </w:tc>
        <w:tc>
          <w:tcPr>
            <w:tcW w:w="1980" w:type="dxa"/>
          </w:tcPr>
          <w:p w14:paraId="66EA0DF8" w14:textId="77777777" w:rsidR="008D041B" w:rsidRPr="00C54088" w:rsidRDefault="0099442C">
            <w:pPr>
              <w:rPr>
                <w:color w:val="EE0000"/>
              </w:rPr>
            </w:pPr>
            <w:r w:rsidRPr="00C54088">
              <w:rPr>
                <w:color w:val="EE0000"/>
              </w:rPr>
              <w:t>T, W, M, A</w:t>
            </w:r>
          </w:p>
        </w:tc>
        <w:tc>
          <w:tcPr>
            <w:tcW w:w="1980" w:type="dxa"/>
          </w:tcPr>
          <w:p w14:paraId="3C26DD27" w14:textId="77777777" w:rsidR="008D041B" w:rsidRPr="00C54088" w:rsidRDefault="0099442C">
            <w:pPr>
              <w:rPr>
                <w:color w:val="EE0000"/>
              </w:rPr>
            </w:pPr>
            <w:r w:rsidRPr="00C54088">
              <w:rPr>
                <w:color w:val="EE0000"/>
              </w:rPr>
              <w:t>T, W, M, A</w:t>
            </w:r>
          </w:p>
        </w:tc>
        <w:tc>
          <w:tcPr>
            <w:tcW w:w="1980" w:type="dxa"/>
          </w:tcPr>
          <w:p w14:paraId="39FEF6E3" w14:textId="77777777" w:rsidR="008D041B" w:rsidRPr="00C54088" w:rsidRDefault="0099442C">
            <w:pPr>
              <w:rPr>
                <w:color w:val="EE0000"/>
              </w:rPr>
            </w:pPr>
            <w:r w:rsidRPr="00C54088">
              <w:rPr>
                <w:color w:val="EE0000"/>
              </w:rPr>
              <w:t>Direct mapping</w:t>
            </w:r>
          </w:p>
        </w:tc>
      </w:tr>
      <w:tr w:rsidR="008D041B" w14:paraId="103FE2F3" w14:textId="77777777">
        <w:tc>
          <w:tcPr>
            <w:tcW w:w="1980" w:type="dxa"/>
          </w:tcPr>
          <w:p w14:paraId="3DB55B75" w14:textId="77777777" w:rsidR="008D041B" w:rsidRPr="00C54088" w:rsidRDefault="0099442C">
            <w:pPr>
              <w:rPr>
                <w:color w:val="EE0000"/>
              </w:rPr>
            </w:pPr>
            <w:r w:rsidRPr="00C54088">
              <w:rPr>
                <w:color w:val="EE0000"/>
              </w:rPr>
              <w:t>Logicle</w:t>
            </w:r>
          </w:p>
        </w:tc>
        <w:tc>
          <w:tcPr>
            <w:tcW w:w="1980" w:type="dxa"/>
          </w:tcPr>
          <w:p w14:paraId="7182777C" w14:textId="77777777" w:rsidR="008D041B" w:rsidRPr="00C54088" w:rsidRDefault="0099442C">
            <w:pPr>
              <w:rPr>
                <w:color w:val="EE0000"/>
              </w:rPr>
            </w:pPr>
            <w:r w:rsidRPr="00C54088">
              <w:rPr>
                <w:color w:val="EE0000"/>
              </w:rPr>
              <w:t>T, W, M, A</w:t>
            </w:r>
          </w:p>
        </w:tc>
        <w:tc>
          <w:tcPr>
            <w:tcW w:w="1980" w:type="dxa"/>
          </w:tcPr>
          <w:p w14:paraId="352EC409" w14:textId="77777777" w:rsidR="008D041B" w:rsidRPr="00C54088" w:rsidRDefault="0099442C">
            <w:pPr>
              <w:rPr>
                <w:color w:val="EE0000"/>
              </w:rPr>
            </w:pPr>
            <w:r w:rsidRPr="00C54088">
              <w:rPr>
                <w:color w:val="EE0000"/>
              </w:rPr>
              <w:t>T, W, M, A</w:t>
            </w:r>
          </w:p>
        </w:tc>
        <w:tc>
          <w:tcPr>
            <w:tcW w:w="1980" w:type="dxa"/>
          </w:tcPr>
          <w:p w14:paraId="5E236E00" w14:textId="77777777" w:rsidR="008D041B" w:rsidRPr="00C54088" w:rsidRDefault="0099442C">
            <w:pPr>
              <w:rPr>
                <w:color w:val="EE0000"/>
              </w:rPr>
            </w:pPr>
            <w:r w:rsidRPr="00C54088">
              <w:rPr>
                <w:color w:val="EE0000"/>
              </w:rPr>
              <w:t>Direct mapping</w:t>
            </w:r>
          </w:p>
        </w:tc>
      </w:tr>
      <w:tr w:rsidR="008D041B" w14:paraId="3E0FE831" w14:textId="77777777">
        <w:tc>
          <w:tcPr>
            <w:tcW w:w="1980" w:type="dxa"/>
          </w:tcPr>
          <w:p w14:paraId="7DF23BCC" w14:textId="77777777" w:rsidR="008D041B" w:rsidRPr="00C54088" w:rsidRDefault="0099442C">
            <w:pPr>
              <w:rPr>
                <w:color w:val="EE0000"/>
              </w:rPr>
            </w:pPr>
            <w:r w:rsidRPr="00C54088">
              <w:rPr>
                <w:color w:val="EE0000"/>
              </w:rPr>
              <w:t>Log</w:t>
            </w:r>
          </w:p>
        </w:tc>
        <w:tc>
          <w:tcPr>
            <w:tcW w:w="1980" w:type="dxa"/>
          </w:tcPr>
          <w:p w14:paraId="50ECF1CD" w14:textId="77777777" w:rsidR="008D041B" w:rsidRPr="00C54088" w:rsidRDefault="0099442C">
            <w:pPr>
              <w:rPr>
                <w:color w:val="EE0000"/>
              </w:rPr>
            </w:pPr>
            <w:r w:rsidRPr="00C54088">
              <w:rPr>
                <w:color w:val="EE0000"/>
              </w:rPr>
              <w:t>decades, offset</w:t>
            </w:r>
          </w:p>
        </w:tc>
        <w:tc>
          <w:tcPr>
            <w:tcW w:w="1980" w:type="dxa"/>
          </w:tcPr>
          <w:p w14:paraId="2D052682" w14:textId="77777777" w:rsidR="008D041B" w:rsidRPr="00C54088" w:rsidRDefault="0099442C">
            <w:pPr>
              <w:rPr>
                <w:color w:val="EE0000"/>
              </w:rPr>
            </w:pPr>
            <w:r w:rsidRPr="00C54088">
              <w:rPr>
                <w:color w:val="EE0000"/>
              </w:rPr>
              <w:t>decades, offset</w:t>
            </w:r>
          </w:p>
        </w:tc>
        <w:tc>
          <w:tcPr>
            <w:tcW w:w="1980" w:type="dxa"/>
          </w:tcPr>
          <w:p w14:paraId="39A30552" w14:textId="77777777" w:rsidR="008D041B" w:rsidRPr="00C54088" w:rsidRDefault="0099442C">
            <w:pPr>
              <w:rPr>
                <w:color w:val="EE0000"/>
              </w:rPr>
            </w:pPr>
            <w:r w:rsidRPr="00C54088">
              <w:rPr>
                <w:color w:val="EE0000"/>
              </w:rPr>
              <w:t>Base 10 assumed</w:t>
            </w:r>
          </w:p>
        </w:tc>
      </w:tr>
      <w:tr w:rsidR="008D041B" w14:paraId="4155E003" w14:textId="77777777">
        <w:tc>
          <w:tcPr>
            <w:tcW w:w="1980" w:type="dxa"/>
          </w:tcPr>
          <w:p w14:paraId="034B6BA2" w14:textId="77777777" w:rsidR="008D041B" w:rsidRPr="00C54088" w:rsidRDefault="0099442C">
            <w:pPr>
              <w:rPr>
                <w:color w:val="EE0000"/>
              </w:rPr>
            </w:pPr>
            <w:r w:rsidRPr="00C54088">
              <w:rPr>
                <w:color w:val="EE0000"/>
              </w:rPr>
              <w:t>Arcsinh</w:t>
            </w:r>
          </w:p>
        </w:tc>
        <w:tc>
          <w:tcPr>
            <w:tcW w:w="1980" w:type="dxa"/>
          </w:tcPr>
          <w:p w14:paraId="7F6CD26E" w14:textId="77777777" w:rsidR="008D041B" w:rsidRPr="00C54088" w:rsidRDefault="0099442C">
            <w:pPr>
              <w:rPr>
                <w:color w:val="EE0000"/>
              </w:rPr>
            </w:pPr>
            <w:r w:rsidRPr="00C54088">
              <w:rPr>
                <w:color w:val="EE0000"/>
              </w:rPr>
              <w:t>T, A</w:t>
            </w:r>
          </w:p>
        </w:tc>
        <w:tc>
          <w:tcPr>
            <w:tcW w:w="1980" w:type="dxa"/>
          </w:tcPr>
          <w:p w14:paraId="0CD1C917" w14:textId="77777777" w:rsidR="008D041B" w:rsidRPr="00C54088" w:rsidRDefault="0099442C">
            <w:pPr>
              <w:rPr>
                <w:color w:val="EE0000"/>
                <w:lang w:val="en-US"/>
              </w:rPr>
            </w:pPr>
            <w:r w:rsidRPr="00C54088">
              <w:rPr>
                <w:color w:val="EE0000"/>
                <w:lang w:val="en-US"/>
              </w:rPr>
              <w:t>length, maxRange, T, A, M, W</w:t>
            </w:r>
          </w:p>
        </w:tc>
        <w:tc>
          <w:tcPr>
            <w:tcW w:w="1980" w:type="dxa"/>
          </w:tcPr>
          <w:p w14:paraId="671C3CD0" w14:textId="77777777" w:rsidR="008D041B" w:rsidRPr="00C54088" w:rsidRDefault="0099442C">
            <w:pPr>
              <w:rPr>
                <w:color w:val="EE0000"/>
              </w:rPr>
            </w:pPr>
            <w:r w:rsidRPr="00C54088">
              <w:rPr>
                <w:color w:val="EE0000"/>
              </w:rPr>
              <w:t>Parameter extension required</w:t>
            </w:r>
          </w:p>
        </w:tc>
      </w:tr>
      <w:tr w:rsidR="008D041B" w14:paraId="007D6C1F" w14:textId="77777777">
        <w:tc>
          <w:tcPr>
            <w:tcW w:w="1980" w:type="dxa"/>
          </w:tcPr>
          <w:p w14:paraId="167FB4E0" w14:textId="77777777" w:rsidR="008D041B" w:rsidRPr="00C54088" w:rsidRDefault="0099442C">
            <w:pPr>
              <w:rPr>
                <w:color w:val="EE0000"/>
              </w:rPr>
            </w:pPr>
            <w:r w:rsidRPr="00C54088">
              <w:rPr>
                <w:color w:val="EE0000"/>
              </w:rPr>
              <w:t>Linear</w:t>
            </w:r>
          </w:p>
        </w:tc>
        <w:tc>
          <w:tcPr>
            <w:tcW w:w="1980" w:type="dxa"/>
          </w:tcPr>
          <w:p w14:paraId="3C4AAA6D" w14:textId="77777777" w:rsidR="008D041B" w:rsidRPr="00C54088" w:rsidRDefault="0099442C">
            <w:pPr>
              <w:rPr>
                <w:color w:val="EE0000"/>
              </w:rPr>
            </w:pPr>
            <w:r w:rsidRPr="00C54088">
              <w:rPr>
                <w:color w:val="EE0000"/>
              </w:rPr>
              <w:t>min, max</w:t>
            </w:r>
          </w:p>
        </w:tc>
        <w:tc>
          <w:tcPr>
            <w:tcW w:w="1980" w:type="dxa"/>
          </w:tcPr>
          <w:p w14:paraId="1778E227" w14:textId="77777777" w:rsidR="008D041B" w:rsidRPr="00C54088" w:rsidRDefault="0099442C">
            <w:pPr>
              <w:rPr>
                <w:color w:val="EE0000"/>
              </w:rPr>
            </w:pPr>
            <w:r w:rsidRPr="00C54088">
              <w:rPr>
                <w:color w:val="EE0000"/>
              </w:rPr>
              <w:t>minRange, maxRange</w:t>
            </w:r>
          </w:p>
        </w:tc>
        <w:tc>
          <w:tcPr>
            <w:tcW w:w="1980" w:type="dxa"/>
          </w:tcPr>
          <w:p w14:paraId="1388C1BF" w14:textId="77777777" w:rsidR="008D041B" w:rsidRPr="00C54088" w:rsidRDefault="0099442C">
            <w:pPr>
              <w:rPr>
                <w:color w:val="EE0000"/>
              </w:rPr>
            </w:pPr>
            <w:r w:rsidRPr="00C54088">
              <w:rPr>
                <w:color w:val="EE0000"/>
              </w:rPr>
              <w:t>Direct mapping</w:t>
            </w:r>
          </w:p>
        </w:tc>
      </w:tr>
    </w:tbl>
    <w:p w14:paraId="66A9896C" w14:textId="77777777" w:rsidR="008D041B" w:rsidRDefault="0099442C">
      <w:pPr>
        <w:pStyle w:val="Heading2"/>
      </w:pPr>
      <w:bookmarkStart w:id="20" w:name="a.4-package-architecture"/>
      <w:bookmarkEnd w:id="19"/>
      <w:r>
        <w:t>A.4 Package architecture</w:t>
      </w:r>
    </w:p>
    <w:p w14:paraId="1109DBDD" w14:textId="77777777" w:rsidR="008D041B" w:rsidRPr="00977AB2" w:rsidRDefault="0099442C">
      <w:pPr>
        <w:rPr>
          <w:lang w:val="en-US"/>
        </w:rPr>
      </w:pPr>
      <w:r w:rsidRPr="00977AB2">
        <w:rPr>
          <w:lang w:val="en-US"/>
        </w:rPr>
        <w:t>CyFj11 is organized into the following R source modules:</w:t>
      </w:r>
    </w:p>
    <w:tbl>
      <w:tblPr>
        <w:tblW w:w="5000" w:type="pct"/>
        <w:tblLayout w:type="fixed"/>
        <w:tblLook w:val="0020" w:firstRow="1" w:lastRow="0" w:firstColumn="0" w:lastColumn="0" w:noHBand="0" w:noVBand="0"/>
      </w:tblPr>
      <w:tblGrid>
        <w:gridCol w:w="4536"/>
        <w:gridCol w:w="4536"/>
      </w:tblGrid>
      <w:tr w:rsidR="008D041B" w14:paraId="58F5088D" w14:textId="77777777">
        <w:trPr>
          <w:tblHeader/>
        </w:trPr>
        <w:tc>
          <w:tcPr>
            <w:tcW w:w="3960" w:type="dxa"/>
          </w:tcPr>
          <w:p w14:paraId="4244743E" w14:textId="77777777" w:rsidR="008D041B" w:rsidRDefault="0099442C">
            <w:r>
              <w:t>File</w:t>
            </w:r>
          </w:p>
        </w:tc>
        <w:tc>
          <w:tcPr>
            <w:tcW w:w="3960" w:type="dxa"/>
          </w:tcPr>
          <w:p w14:paraId="572C48E3" w14:textId="77777777" w:rsidR="008D041B" w:rsidRDefault="0099442C">
            <w:r>
              <w:t>Responsibility</w:t>
            </w:r>
          </w:p>
        </w:tc>
      </w:tr>
      <w:tr w:rsidR="008D041B" w:rsidRPr="00431A34" w14:paraId="3D1EB135" w14:textId="77777777">
        <w:tc>
          <w:tcPr>
            <w:tcW w:w="3960" w:type="dxa"/>
          </w:tcPr>
          <w:p w14:paraId="4B55EC21" w14:textId="77777777" w:rsidR="008D041B" w:rsidRDefault="0099442C">
            <w:r>
              <w:t>archive.R</w:t>
            </w:r>
          </w:p>
        </w:tc>
        <w:tc>
          <w:tcPr>
            <w:tcW w:w="3960" w:type="dxa"/>
          </w:tcPr>
          <w:p w14:paraId="3A507ED6" w14:textId="77777777" w:rsidR="008D041B" w:rsidRPr="00977AB2" w:rsidRDefault="0099442C">
            <w:pPr>
              <w:rPr>
                <w:lang w:val="en-US"/>
              </w:rPr>
            </w:pPr>
            <w:r w:rsidRPr="00977AB2">
              <w:rPr>
                <w:lang w:val="en-US"/>
              </w:rPr>
              <w:t>ZIP extraction, JSON parsing, manifest reading</w:t>
            </w:r>
          </w:p>
        </w:tc>
      </w:tr>
      <w:tr w:rsidR="008D041B" w:rsidRPr="00431A34" w14:paraId="4BD48A7F" w14:textId="77777777">
        <w:tc>
          <w:tcPr>
            <w:tcW w:w="3960" w:type="dxa"/>
          </w:tcPr>
          <w:p w14:paraId="5D811372" w14:textId="77777777" w:rsidR="008D041B" w:rsidRDefault="0099442C">
            <w:r>
              <w:t>conversion.R</w:t>
            </w:r>
          </w:p>
        </w:tc>
        <w:tc>
          <w:tcPr>
            <w:tcW w:w="3960" w:type="dxa"/>
          </w:tcPr>
          <w:p w14:paraId="3BD3EA69" w14:textId="77777777" w:rsidR="008D041B" w:rsidRPr="00977AB2" w:rsidRDefault="0099442C">
            <w:pPr>
              <w:rPr>
                <w:lang w:val="en-US"/>
              </w:rPr>
            </w:pPr>
            <w:r w:rsidRPr="00977AB2">
              <w:rPr>
                <w:lang w:val="en-US"/>
              </w:rPr>
              <w:t>Per-sample GatingSet list construction from parsed workspace</w:t>
            </w:r>
          </w:p>
        </w:tc>
      </w:tr>
      <w:tr w:rsidR="008D041B" w14:paraId="2B1CAF07" w14:textId="77777777">
        <w:tc>
          <w:tcPr>
            <w:tcW w:w="3960" w:type="dxa"/>
          </w:tcPr>
          <w:p w14:paraId="33D20780" w14:textId="77777777" w:rsidR="008D041B" w:rsidRDefault="0099442C">
            <w:r>
              <w:t>export-flowjo10.R</w:t>
            </w:r>
          </w:p>
        </w:tc>
        <w:tc>
          <w:tcPr>
            <w:tcW w:w="3960" w:type="dxa"/>
          </w:tcPr>
          <w:p w14:paraId="1B76796B" w14:textId="77777777" w:rsidR="008D041B" w:rsidRDefault="0099442C">
            <w:r>
              <w:t>Gating-ML 2.0 XML generation</w:t>
            </w:r>
          </w:p>
        </w:tc>
      </w:tr>
      <w:tr w:rsidR="008D041B" w14:paraId="0A67840E" w14:textId="77777777">
        <w:tc>
          <w:tcPr>
            <w:tcW w:w="3960" w:type="dxa"/>
          </w:tcPr>
          <w:p w14:paraId="06735904" w14:textId="77777777" w:rsidR="008D041B" w:rsidRDefault="0099442C">
            <w:r>
              <w:t>gates.R</w:t>
            </w:r>
          </w:p>
        </w:tc>
        <w:tc>
          <w:tcPr>
            <w:tcW w:w="3960" w:type="dxa"/>
          </w:tcPr>
          <w:p w14:paraId="122AAE25" w14:textId="77777777" w:rsidR="008D041B" w:rsidRDefault="0099442C">
            <w:r>
              <w:t>Gate type detection, coordinate extraction, conversion</w:t>
            </w:r>
          </w:p>
        </w:tc>
      </w:tr>
      <w:tr w:rsidR="008D041B" w14:paraId="59726526" w14:textId="77777777">
        <w:tc>
          <w:tcPr>
            <w:tcW w:w="3960" w:type="dxa"/>
          </w:tcPr>
          <w:p w14:paraId="4041D2EB" w14:textId="77777777" w:rsidR="008D041B" w:rsidRDefault="0099442C">
            <w:r>
              <w:t>transformations.R</w:t>
            </w:r>
          </w:p>
        </w:tc>
        <w:tc>
          <w:tcPr>
            <w:tcW w:w="3960" w:type="dxa"/>
          </w:tcPr>
          <w:p w14:paraId="3845664D" w14:textId="77777777" w:rsidR="008D041B" w:rsidRDefault="0099442C">
            <w:r>
              <w:t>Transformation extraction and format conversion</w:t>
            </w:r>
          </w:p>
        </w:tc>
      </w:tr>
      <w:tr w:rsidR="008D041B" w:rsidRPr="00431A34" w14:paraId="5F630265" w14:textId="77777777">
        <w:tc>
          <w:tcPr>
            <w:tcW w:w="3960" w:type="dxa"/>
          </w:tcPr>
          <w:p w14:paraId="149F4018" w14:textId="77777777" w:rsidR="008D041B" w:rsidRDefault="0099442C">
            <w:r>
              <w:t>compensation.R</w:t>
            </w:r>
          </w:p>
        </w:tc>
        <w:tc>
          <w:tcPr>
            <w:tcW w:w="3960" w:type="dxa"/>
          </w:tcPr>
          <w:p w14:paraId="3C6A91AA" w14:textId="77777777" w:rsidR="008D041B" w:rsidRPr="00977AB2" w:rsidRDefault="0099442C">
            <w:pPr>
              <w:rPr>
                <w:lang w:val="en-US"/>
              </w:rPr>
            </w:pPr>
            <w:r w:rsidRPr="00977AB2">
              <w:rPr>
                <w:lang w:val="en-US"/>
              </w:rPr>
              <w:t>Compensation matrix extraction and validation (see also 8 Color PBMC real-world test)</w:t>
            </w:r>
          </w:p>
        </w:tc>
      </w:tr>
      <w:tr w:rsidR="008D041B" w:rsidRPr="00431A34" w14:paraId="04D64B89" w14:textId="77777777">
        <w:tc>
          <w:tcPr>
            <w:tcW w:w="3960" w:type="dxa"/>
          </w:tcPr>
          <w:p w14:paraId="745FBC26" w14:textId="77777777" w:rsidR="008D041B" w:rsidRDefault="0099442C">
            <w:r>
              <w:t>populations.R</w:t>
            </w:r>
          </w:p>
        </w:tc>
        <w:tc>
          <w:tcPr>
            <w:tcW w:w="3960" w:type="dxa"/>
          </w:tcPr>
          <w:p w14:paraId="17C1E762" w14:textId="77777777" w:rsidR="008D041B" w:rsidRPr="00977AB2" w:rsidRDefault="0099442C">
            <w:pPr>
              <w:rPr>
                <w:lang w:val="en-US"/>
              </w:rPr>
            </w:pPr>
            <w:r w:rsidRPr="00977AB2">
              <w:rPr>
                <w:lang w:val="en-US"/>
              </w:rPr>
              <w:t>Population hierarchy traversal and gate tree construction</w:t>
            </w:r>
          </w:p>
        </w:tc>
      </w:tr>
      <w:tr w:rsidR="008D041B" w:rsidRPr="00431A34" w14:paraId="35B5BB19" w14:textId="77777777">
        <w:tc>
          <w:tcPr>
            <w:tcW w:w="3960" w:type="dxa"/>
          </w:tcPr>
          <w:p w14:paraId="2C1C6B56" w14:textId="77777777" w:rsidR="008D041B" w:rsidRDefault="0099442C">
            <w:r>
              <w:t>file-search.R</w:t>
            </w:r>
          </w:p>
        </w:tc>
        <w:tc>
          <w:tcPr>
            <w:tcW w:w="3960" w:type="dxa"/>
          </w:tcPr>
          <w:p w14:paraId="594E8E4B" w14:textId="77777777" w:rsidR="008D041B" w:rsidRPr="00977AB2" w:rsidRDefault="0099442C">
            <w:pPr>
              <w:rPr>
                <w:lang w:val="en-US"/>
              </w:rPr>
            </w:pPr>
            <w:r w:rsidRPr="00977AB2">
              <w:rPr>
                <w:lang w:val="en-US"/>
              </w:rPr>
              <w:t>FCS file resolution from FlowJo URI references</w:t>
            </w:r>
          </w:p>
        </w:tc>
      </w:tr>
      <w:tr w:rsidR="008D041B" w14:paraId="6BD362F2" w14:textId="77777777">
        <w:tc>
          <w:tcPr>
            <w:tcW w:w="3960" w:type="dxa"/>
          </w:tcPr>
          <w:p w14:paraId="17D77E7C" w14:textId="77777777" w:rsidR="008D041B" w:rsidRDefault="0099442C">
            <w:r>
              <w:t>helpers.R</w:t>
            </w:r>
          </w:p>
        </w:tc>
        <w:tc>
          <w:tcPr>
            <w:tcW w:w="3960" w:type="dxa"/>
          </w:tcPr>
          <w:p w14:paraId="411C0AB4" w14:textId="77777777" w:rsidR="008D041B" w:rsidRDefault="0099442C">
            <w:r>
              <w:t>Utility functions, UUID validation</w:t>
            </w:r>
          </w:p>
        </w:tc>
      </w:tr>
    </w:tbl>
    <w:p w14:paraId="2787C9AA" w14:textId="5981DC8A" w:rsidR="008D041B" w:rsidRPr="00977AB2" w:rsidRDefault="0099442C">
      <w:pPr>
        <w:rPr>
          <w:lang w:val="en-US"/>
        </w:rPr>
      </w:pPr>
      <w:r w:rsidRPr="00977AB2">
        <w:rPr>
          <w:lang w:val="en-US"/>
        </w:rPr>
        <w:t>The exported functions are: read_flowjo11_workspace(), fj11_to_gatingset(), export_flowjo10_workspace(),</w:t>
      </w:r>
      <w:r w:rsidR="00482E5F">
        <w:rPr>
          <w:lang w:val="en-US"/>
        </w:rPr>
        <w:t xml:space="preserve"> </w:t>
      </w:r>
      <w:r w:rsidRPr="00977AB2">
        <w:rPr>
          <w:lang w:val="en-US"/>
        </w:rPr>
        <w:t>pretty_print_flowjo() (extracts and formats a .flowjo workspace to a human-readable JSON text file, useful for debugging)</w:t>
      </w:r>
      <w:r w:rsidR="00482E5F">
        <w:rPr>
          <w:lang w:val="en-US"/>
        </w:rPr>
        <w:t xml:space="preserve">, and </w:t>
      </w:r>
      <w:r w:rsidR="00482E5F" w:rsidRPr="00482E5F">
        <w:rPr>
          <w:lang w:val="en-US"/>
        </w:rPr>
        <w:t>extract_flowjo_stats()</w:t>
      </w:r>
      <w:r w:rsidRPr="00977AB2">
        <w:rPr>
          <w:lang w:val="en-US"/>
        </w:rPr>
        <w:t>. Three utility functions are also exported: set_verbose(TRUE/FALSE) enables or disables verbose progress logging; get_verbose() returns the current verbosity state; and %||% is a null-coalescing operator that returns its left-hand argument if non-NULL, otherwise the right-hand argument (analogous to ?? in other languages).</w:t>
      </w:r>
    </w:p>
    <w:p w14:paraId="1F5039E1" w14:textId="77777777" w:rsidR="008D041B" w:rsidRDefault="0099442C">
      <w:pPr>
        <w:pStyle w:val="Heading2"/>
      </w:pPr>
      <w:bookmarkStart w:id="21" w:name="a.5-validation-methodology"/>
      <w:bookmarkEnd w:id="20"/>
      <w:r>
        <w:t>A.5 Validation methodology</w:t>
      </w:r>
    </w:p>
    <w:p w14:paraId="63C92C47" w14:textId="77777777" w:rsidR="008D041B" w:rsidRDefault="0099442C">
      <w:pPr>
        <w:pStyle w:val="Heading3"/>
      </w:pPr>
      <w:bookmarkStart w:id="22" w:name="test-workspace-construction"/>
      <w:r>
        <w:t>Test workspace construction</w:t>
      </w:r>
    </w:p>
    <w:p w14:paraId="37B47AD5" w14:textId="77777777" w:rsidR="008D041B" w:rsidRPr="00977AB2" w:rsidRDefault="0099442C">
      <w:pPr>
        <w:rPr>
          <w:lang w:val="en-US"/>
        </w:rPr>
      </w:pPr>
      <w:r w:rsidRPr="00977AB2">
        <w:rPr>
          <w:lang w:val="en-US"/>
        </w:rPr>
        <w:t xml:space="preserve">Thirteen test workspaces were constructed programmatically using the </w:t>
      </w:r>
      <w:r w:rsidRPr="00C54088">
        <w:rPr>
          <w:color w:val="EE0000"/>
          <w:lang w:val="en-US"/>
        </w:rPr>
        <w:t xml:space="preserve">roundtrip_experiment.Rmd </w:t>
      </w:r>
      <w:r w:rsidRPr="00977AB2">
        <w:rPr>
          <w:lang w:val="en-US"/>
        </w:rPr>
        <w:t xml:space="preserve">script included with the package. Synthetic FCS files were generated using log-normal bimodal distributions to simulate realistic fluorescence measurements: scatter channels (FSC-A, FSC-H, SSC-A, SSC-H) were drawn from normal distributions (FSC-A: </w:t>
      </w:r>
      <w:r>
        <w:t>μ</w:t>
      </w:r>
      <w:r w:rsidRPr="00977AB2">
        <w:rPr>
          <w:lang w:val="en-US"/>
        </w:rPr>
        <w:t xml:space="preserve"> = 120,000, </w:t>
      </w:r>
      <w:r>
        <w:t>σ</w:t>
      </w:r>
      <w:r w:rsidRPr="00977AB2">
        <w:rPr>
          <w:lang w:val="en-US"/>
        </w:rPr>
        <w:t xml:space="preserve"> = 30,000; SSC-A: </w:t>
      </w:r>
      <w:r>
        <w:t>μ</w:t>
      </w:r>
      <w:r w:rsidRPr="00977AB2">
        <w:rPr>
          <w:lang w:val="en-US"/>
        </w:rPr>
        <w:t xml:space="preserve"> = 80,000, </w:t>
      </w:r>
      <w:r>
        <w:t>σ</w:t>
      </w:r>
      <w:r w:rsidRPr="00977AB2">
        <w:rPr>
          <w:lang w:val="en-US"/>
        </w:rPr>
        <w:t xml:space="preserve"> = 20,000), and fluorescence channels were drawn from a mixture of two log-normal components (negative population: ~70–80% of events; positive population: ~20–30% of events) to produce realistic positive/negative separations. All random seeds were fixed for reproducibility.</w:t>
      </w:r>
    </w:p>
    <w:p w14:paraId="21D90B75" w14:textId="77777777" w:rsidR="008D041B" w:rsidRPr="00977AB2" w:rsidRDefault="0099442C">
      <w:pPr>
        <w:rPr>
          <w:lang w:val="en-US"/>
        </w:rPr>
      </w:pPr>
      <w:r w:rsidRPr="00977AB2">
        <w:rPr>
          <w:lang w:val="en-US"/>
        </w:rPr>
        <w:t>Gate coordinates were specified to enclose known fractions of the simulated distributions. Transformation parameters were set to standard FlowJo defaults: biexponential with channelRange = 4096, maxValue = 262,144, pos = 4.5, neg = 0; logicle with T = 262,144, W = 0.5, M = 4.5, A = 0; arcsinh with T = 262,144, M = 4.5, A = 0.</w:t>
      </w:r>
    </w:p>
    <w:p w14:paraId="1E994552" w14:textId="77777777" w:rsidR="008D041B" w:rsidRPr="00977AB2" w:rsidRDefault="008D041B">
      <w:pPr>
        <w:rPr>
          <w:lang w:val="en-US"/>
        </w:rPr>
      </w:pPr>
    </w:p>
    <w:p w14:paraId="79052F01" w14:textId="77777777" w:rsidR="008D041B" w:rsidRPr="00977AB2" w:rsidRDefault="008D041B">
      <w:pPr>
        <w:rPr>
          <w:lang w:val="en-US"/>
        </w:rPr>
      </w:pPr>
    </w:p>
    <w:p w14:paraId="56E93FDC" w14:textId="77777777" w:rsidR="008D041B" w:rsidRDefault="0099442C">
      <w:pPr>
        <w:pStyle w:val="Heading3"/>
      </w:pPr>
      <w:bookmarkStart w:id="23" w:name="metrics"/>
      <w:bookmarkEnd w:id="22"/>
      <w:r>
        <w:t>Metrics</w:t>
      </w:r>
    </w:p>
    <w:p w14:paraId="4D43B68F" w14:textId="77777777" w:rsidR="008D041B" w:rsidRPr="00977AB2" w:rsidRDefault="0099442C">
      <w:pPr>
        <w:numPr>
          <w:ilvl w:val="0"/>
          <w:numId w:val="3"/>
        </w:numPr>
        <w:rPr>
          <w:lang w:val="en-US"/>
        </w:rPr>
      </w:pPr>
      <w:r w:rsidRPr="00977AB2">
        <w:rPr>
          <w:b/>
          <w:bCs/>
          <w:lang w:val="en-US"/>
        </w:rPr>
        <w:t>Population count preservation:</w:t>
      </w:r>
      <w:r w:rsidRPr="00977AB2">
        <w:rPr>
          <w:lang w:val="en-US"/>
        </w:rPr>
        <w:t xml:space="preserve"> absolute count difference and percentage difference between R-side GatingSet count and FlowJo-reported count after importing the exported v10 workspace.</w:t>
      </w:r>
    </w:p>
    <w:p w14:paraId="39BF6B69" w14:textId="77777777" w:rsidR="008D041B" w:rsidRPr="00977AB2" w:rsidRDefault="0099442C">
      <w:pPr>
        <w:numPr>
          <w:ilvl w:val="0"/>
          <w:numId w:val="3"/>
        </w:numPr>
        <w:rPr>
          <w:lang w:val="en-US"/>
        </w:rPr>
      </w:pPr>
      <w:r w:rsidRPr="00977AB2">
        <w:rPr>
          <w:b/>
          <w:bCs/>
          <w:lang w:val="en-US"/>
        </w:rPr>
        <w:t>Gate coordinate accuracy:</w:t>
      </w:r>
      <w:r w:rsidRPr="00977AB2">
        <w:rPr>
          <w:lang w:val="en-US"/>
        </w:rPr>
        <w:t xml:space="preserve"> mean and maximum deviation of gate boundary coordinates as a percentage of the axis range, computed by comparing coordinates in the exported v10 XML to the original gate definition.</w:t>
      </w:r>
    </w:p>
    <w:p w14:paraId="7F885E5A" w14:textId="77777777" w:rsidR="008D041B" w:rsidRPr="00977AB2" w:rsidRDefault="0099442C">
      <w:pPr>
        <w:numPr>
          <w:ilvl w:val="0"/>
          <w:numId w:val="3"/>
        </w:numPr>
        <w:rPr>
          <w:lang w:val="en-US"/>
        </w:rPr>
      </w:pPr>
      <w:r w:rsidRPr="00977AB2">
        <w:rPr>
          <w:b/>
          <w:bCs/>
          <w:lang w:val="en-US"/>
        </w:rPr>
        <w:t>Transformation fidelity:</w:t>
      </w:r>
      <w:r w:rsidRPr="00977AB2">
        <w:rPr>
          <w:lang w:val="en-US"/>
        </w:rPr>
        <w:t xml:space="preserve"> Kolmogorov–Smirnov D-statistic comparing the distribution of transformed values computed by flowCore and by FlowJo for identical parameter values and FCS files.</w:t>
      </w:r>
    </w:p>
    <w:p w14:paraId="2D98A047" w14:textId="77777777" w:rsidR="008D041B" w:rsidRPr="00977AB2" w:rsidRDefault="0099442C">
      <w:pPr>
        <w:numPr>
          <w:ilvl w:val="0"/>
          <w:numId w:val="3"/>
        </w:numPr>
        <w:rPr>
          <w:lang w:val="en-US"/>
        </w:rPr>
      </w:pPr>
      <w:r w:rsidRPr="00977AB2">
        <w:rPr>
          <w:b/>
          <w:bCs/>
          <w:lang w:val="en-US"/>
        </w:rPr>
        <w:t>Boolean gate accuracy:</w:t>
      </w:r>
      <w:r w:rsidRPr="00977AB2">
        <w:rPr>
          <w:lang w:val="en-US"/>
        </w:rPr>
        <w:t xml:space="preserve"> percentage agreement in per-cell membership for converted Boolean gates (AND, OR, NOT), computed by comparing R-side and FlowJo-side population counts.</w:t>
      </w:r>
    </w:p>
    <w:p w14:paraId="534987C1" w14:textId="77777777" w:rsidR="008D041B" w:rsidRDefault="0099442C">
      <w:pPr>
        <w:pStyle w:val="Heading3"/>
      </w:pPr>
      <w:bookmarkStart w:id="24" w:name="acceptance-criteria"/>
      <w:bookmarkEnd w:id="23"/>
      <w:r>
        <w:t>Acceptance criteria</w:t>
      </w:r>
    </w:p>
    <w:tbl>
      <w:tblPr>
        <w:tblW w:w="0" w:type="auto"/>
        <w:tblLook w:val="0020" w:firstRow="1" w:lastRow="0" w:firstColumn="0" w:lastColumn="0" w:noHBand="0" w:noVBand="0"/>
      </w:tblPr>
      <w:tblGrid>
        <w:gridCol w:w="3408"/>
        <w:gridCol w:w="3871"/>
      </w:tblGrid>
      <w:tr w:rsidR="008D041B" w14:paraId="3B3E648F" w14:textId="77777777">
        <w:trPr>
          <w:tblHeader/>
        </w:trPr>
        <w:tc>
          <w:tcPr>
            <w:tcW w:w="0" w:type="auto"/>
          </w:tcPr>
          <w:p w14:paraId="46E9C749" w14:textId="77777777" w:rsidR="008D041B" w:rsidRDefault="0099442C">
            <w:r>
              <w:t>Metric</w:t>
            </w:r>
          </w:p>
        </w:tc>
        <w:tc>
          <w:tcPr>
            <w:tcW w:w="0" w:type="auto"/>
          </w:tcPr>
          <w:p w14:paraId="118F2300" w14:textId="77777777" w:rsidR="008D041B" w:rsidRDefault="0099442C">
            <w:r>
              <w:t>Acceptance criterion</w:t>
            </w:r>
          </w:p>
        </w:tc>
      </w:tr>
      <w:tr w:rsidR="008D041B" w14:paraId="3795DFF7" w14:textId="77777777">
        <w:tc>
          <w:tcPr>
            <w:tcW w:w="0" w:type="auto"/>
          </w:tcPr>
          <w:p w14:paraId="63A48635" w14:textId="77777777" w:rsidR="008D041B" w:rsidRDefault="0099442C">
            <w:r>
              <w:t>Population count difference</w:t>
            </w:r>
          </w:p>
        </w:tc>
        <w:tc>
          <w:tcPr>
            <w:tcW w:w="0" w:type="auto"/>
          </w:tcPr>
          <w:p w14:paraId="39BD8B4D" w14:textId="77777777" w:rsidR="008D041B" w:rsidRDefault="0099442C">
            <w:r>
              <w:t>≤ 0.5% absolute</w:t>
            </w:r>
          </w:p>
        </w:tc>
      </w:tr>
      <w:tr w:rsidR="008D041B" w:rsidRPr="00431A34" w14:paraId="396941F5" w14:textId="77777777">
        <w:tc>
          <w:tcPr>
            <w:tcW w:w="0" w:type="auto"/>
          </w:tcPr>
          <w:p w14:paraId="0BBDDC27" w14:textId="77777777" w:rsidR="008D041B" w:rsidRDefault="0099442C">
            <w:r>
              <w:t>Gate coordinate deviation</w:t>
            </w:r>
          </w:p>
        </w:tc>
        <w:tc>
          <w:tcPr>
            <w:tcW w:w="0" w:type="auto"/>
          </w:tcPr>
          <w:p w14:paraId="0DB37A58" w14:textId="77777777" w:rsidR="008D041B" w:rsidRPr="00977AB2" w:rsidRDefault="0099442C">
            <w:pPr>
              <w:rPr>
                <w:lang w:val="en-US"/>
              </w:rPr>
            </w:pPr>
            <w:r w:rsidRPr="00977AB2">
              <w:rPr>
                <w:lang w:val="en-US"/>
              </w:rPr>
              <w:t>≤ 0.1% of axis range (95th percentile)</w:t>
            </w:r>
          </w:p>
        </w:tc>
      </w:tr>
      <w:tr w:rsidR="008D041B" w14:paraId="32BAA8B1" w14:textId="77777777">
        <w:tc>
          <w:tcPr>
            <w:tcW w:w="0" w:type="auto"/>
          </w:tcPr>
          <w:p w14:paraId="1614327E" w14:textId="77777777" w:rsidR="008D041B" w:rsidRDefault="0099442C">
            <w:r>
              <w:t>KS D-statistic (transformations)</w:t>
            </w:r>
          </w:p>
        </w:tc>
        <w:tc>
          <w:tcPr>
            <w:tcW w:w="0" w:type="auto"/>
          </w:tcPr>
          <w:p w14:paraId="1FE1C120" w14:textId="77777777" w:rsidR="008D041B" w:rsidRDefault="0099442C">
            <w:r>
              <w:t>&lt; 0.05 for ≥ 95% of comparisons</w:t>
            </w:r>
          </w:p>
        </w:tc>
      </w:tr>
      <w:tr w:rsidR="008D041B" w14:paraId="29493A2D" w14:textId="77777777">
        <w:tc>
          <w:tcPr>
            <w:tcW w:w="0" w:type="auto"/>
          </w:tcPr>
          <w:p w14:paraId="3DE64D64" w14:textId="77777777" w:rsidR="008D041B" w:rsidRDefault="0099442C">
            <w:r>
              <w:t>Boolean membership agreement</w:t>
            </w:r>
          </w:p>
        </w:tc>
        <w:tc>
          <w:tcPr>
            <w:tcW w:w="0" w:type="auto"/>
          </w:tcPr>
          <w:p w14:paraId="4733CCEB" w14:textId="77777777" w:rsidR="008D041B" w:rsidRDefault="0099442C">
            <w:r>
              <w:t>100%</w:t>
            </w:r>
          </w:p>
        </w:tc>
      </w:tr>
    </w:tbl>
    <w:p w14:paraId="79498BEA" w14:textId="77777777" w:rsidR="008D041B" w:rsidRDefault="008D041B"/>
    <w:p w14:paraId="1589795C" w14:textId="77777777" w:rsidR="008D041B" w:rsidRDefault="00F065AE">
      <w:r>
        <w:rPr>
          <w:noProof/>
        </w:rPr>
        <w:pict w14:anchorId="53F7A500">
          <v:rect id="_x0000_i1033" alt="" style="width:451.3pt;height:.05pt;mso-width-percent:0;mso-height-percent:0;mso-width-percent:0;mso-height-percent:0" o:hralign="center" o:hrstd="t" o:hr="t"/>
        </w:pict>
      </w:r>
    </w:p>
    <w:p w14:paraId="560180BB" w14:textId="77777777" w:rsidR="008D041B" w:rsidRDefault="0099442C">
      <w:r>
        <w:br w:type="page"/>
      </w:r>
    </w:p>
    <w:p w14:paraId="12B47CA0" w14:textId="2F73E91F" w:rsidR="008D041B" w:rsidRPr="000048C0" w:rsidRDefault="000048C0" w:rsidP="000048C0">
      <w:pPr>
        <w:pStyle w:val="Heading1"/>
        <w:numPr>
          <w:ilvl w:val="0"/>
          <w:numId w:val="0"/>
        </w:numPr>
        <w:ind w:left="426"/>
        <w:rPr>
          <w:lang w:val="en-US"/>
        </w:rPr>
      </w:pPr>
      <w:bookmarkStart w:id="25" w:name="annex-b-test-scenario-descriptions"/>
      <w:bookmarkEnd w:id="10"/>
      <w:bookmarkEnd w:id="21"/>
      <w:bookmarkEnd w:id="24"/>
      <w:r w:rsidRPr="000048C0">
        <w:rPr>
          <w:rStyle w:val="Strong"/>
          <w:lang w:val="en-US"/>
        </w:rPr>
        <w:lastRenderedPageBreak/>
        <w:t>Supplementary File 2</w:t>
      </w:r>
      <w:r w:rsidR="0099442C" w:rsidRPr="000048C0">
        <w:rPr>
          <w:lang w:val="en-US"/>
        </w:rPr>
        <w:t>: Test Scenario Descriptions</w:t>
      </w:r>
    </w:p>
    <w:p w14:paraId="311DAED0" w14:textId="77777777" w:rsidR="008D041B" w:rsidRPr="00977AB2" w:rsidRDefault="0099442C">
      <w:pPr>
        <w:rPr>
          <w:lang w:val="en-US"/>
        </w:rPr>
      </w:pPr>
      <w:r w:rsidRPr="00977AB2">
        <w:rPr>
          <w:lang w:val="en-US"/>
        </w:rPr>
        <w:t xml:space="preserve">All test scenarios use synthetic FCS data generated by the validation suite in roundtrip_experiment.Rmd. Each test directory contains the FCS file(s), an exported v10 workspace (export.wsp), and a description file (test_info.txt). </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4BD5A81D" w14:textId="77777777" w:rsidTr="0080169A">
        <w:trPr>
          <w:tblHeader/>
        </w:trPr>
        <w:tc>
          <w:tcPr>
            <w:tcW w:w="1512" w:type="dxa"/>
          </w:tcPr>
          <w:p w14:paraId="5AC82D3D" w14:textId="77777777" w:rsidR="008D041B" w:rsidRDefault="0099442C">
            <w:r>
              <w:t>Test</w:t>
            </w:r>
          </w:p>
        </w:tc>
        <w:tc>
          <w:tcPr>
            <w:tcW w:w="1512" w:type="dxa"/>
          </w:tcPr>
          <w:p w14:paraId="4C7C6888" w14:textId="77777777" w:rsidR="008D041B" w:rsidRDefault="0099442C">
            <w:r>
              <w:t>Samples</w:t>
            </w:r>
          </w:p>
        </w:tc>
        <w:tc>
          <w:tcPr>
            <w:tcW w:w="1512" w:type="dxa"/>
          </w:tcPr>
          <w:p w14:paraId="5BC30E69" w14:textId="77777777" w:rsidR="008D041B" w:rsidRDefault="0099442C">
            <w:r>
              <w:t>Gate hierarchy</w:t>
            </w:r>
          </w:p>
        </w:tc>
        <w:tc>
          <w:tcPr>
            <w:tcW w:w="1512" w:type="dxa"/>
          </w:tcPr>
          <w:p w14:paraId="650CA649" w14:textId="77777777" w:rsidR="008D041B" w:rsidRDefault="0099442C">
            <w:r>
              <w:t>Gate types</w:t>
            </w:r>
          </w:p>
        </w:tc>
        <w:tc>
          <w:tcPr>
            <w:tcW w:w="1512" w:type="dxa"/>
          </w:tcPr>
          <w:p w14:paraId="31543E0C" w14:textId="77777777" w:rsidR="008D041B" w:rsidRDefault="0099442C">
            <w:r>
              <w:t>Transforms</w:t>
            </w:r>
          </w:p>
        </w:tc>
        <w:tc>
          <w:tcPr>
            <w:tcW w:w="1512" w:type="dxa"/>
          </w:tcPr>
          <w:p w14:paraId="07DD320C" w14:textId="77777777" w:rsidR="008D041B" w:rsidRDefault="0099442C">
            <w:r>
              <w:t>Known issues</w:t>
            </w:r>
          </w:p>
        </w:tc>
      </w:tr>
      <w:tr w:rsidR="008D041B" w14:paraId="74779CBA" w14:textId="77777777" w:rsidTr="0080169A">
        <w:tc>
          <w:tcPr>
            <w:tcW w:w="1512" w:type="dxa"/>
          </w:tcPr>
          <w:p w14:paraId="5E9F2B63" w14:textId="77777777" w:rsidR="008D041B" w:rsidRDefault="0099442C">
            <w:r>
              <w:t>01</w:t>
            </w:r>
          </w:p>
        </w:tc>
        <w:tc>
          <w:tcPr>
            <w:tcW w:w="1512" w:type="dxa"/>
          </w:tcPr>
          <w:p w14:paraId="1B50606A" w14:textId="77777777" w:rsidR="008D041B" w:rsidRDefault="0099442C">
            <w:r>
              <w:t>1</w:t>
            </w:r>
          </w:p>
        </w:tc>
        <w:tc>
          <w:tcPr>
            <w:tcW w:w="1512" w:type="dxa"/>
          </w:tcPr>
          <w:p w14:paraId="758F881D" w14:textId="77777777" w:rsidR="008D041B" w:rsidRDefault="0099442C">
            <w:r>
              <w:t>Root only</w:t>
            </w:r>
          </w:p>
        </w:tc>
        <w:tc>
          <w:tcPr>
            <w:tcW w:w="1512" w:type="dxa"/>
          </w:tcPr>
          <w:p w14:paraId="1E65B6ED" w14:textId="77777777" w:rsidR="008D041B" w:rsidRDefault="0099442C">
            <w:r>
              <w:t>None</w:t>
            </w:r>
          </w:p>
        </w:tc>
        <w:tc>
          <w:tcPr>
            <w:tcW w:w="1512" w:type="dxa"/>
          </w:tcPr>
          <w:p w14:paraId="3F275546" w14:textId="77777777" w:rsidR="008D041B" w:rsidRDefault="0099442C">
            <w:r>
              <w:t>Linear</w:t>
            </w:r>
          </w:p>
        </w:tc>
        <w:tc>
          <w:tcPr>
            <w:tcW w:w="1512" w:type="dxa"/>
          </w:tcPr>
          <w:p w14:paraId="62FF3A97" w14:textId="77777777" w:rsidR="008D041B" w:rsidRDefault="0099442C">
            <w:r>
              <w:t>None</w:t>
            </w:r>
          </w:p>
        </w:tc>
      </w:tr>
      <w:tr w:rsidR="008D041B" w14:paraId="6644338D" w14:textId="77777777" w:rsidTr="0080169A">
        <w:tc>
          <w:tcPr>
            <w:tcW w:w="1512" w:type="dxa"/>
          </w:tcPr>
          <w:p w14:paraId="2BC47EA9" w14:textId="77777777" w:rsidR="008D041B" w:rsidRDefault="0099442C">
            <w:r>
              <w:t>02</w:t>
            </w:r>
          </w:p>
        </w:tc>
        <w:tc>
          <w:tcPr>
            <w:tcW w:w="1512" w:type="dxa"/>
          </w:tcPr>
          <w:p w14:paraId="2C3BF33C" w14:textId="77777777" w:rsidR="008D041B" w:rsidRDefault="0099442C">
            <w:r>
              <w:t>1</w:t>
            </w:r>
          </w:p>
        </w:tc>
        <w:tc>
          <w:tcPr>
            <w:tcW w:w="1512" w:type="dxa"/>
          </w:tcPr>
          <w:p w14:paraId="12EF1679" w14:textId="77777777" w:rsidR="008D041B" w:rsidRDefault="0099442C">
            <w:r>
              <w:t>1 level</w:t>
            </w:r>
          </w:p>
        </w:tc>
        <w:tc>
          <w:tcPr>
            <w:tcW w:w="1512" w:type="dxa"/>
          </w:tcPr>
          <w:p w14:paraId="793DD2FB" w14:textId="77777777" w:rsidR="008D041B" w:rsidRPr="00977AB2" w:rsidRDefault="0099442C">
            <w:pPr>
              <w:rPr>
                <w:lang w:val="en-US"/>
              </w:rPr>
            </w:pPr>
            <w:r w:rsidRPr="00977AB2">
              <w:rPr>
                <w:lang w:val="en-US"/>
              </w:rPr>
              <w:t>1D rectangle (FSC-A, 60k–180k)</w:t>
            </w:r>
          </w:p>
        </w:tc>
        <w:tc>
          <w:tcPr>
            <w:tcW w:w="1512" w:type="dxa"/>
          </w:tcPr>
          <w:p w14:paraId="53D3DBC5" w14:textId="77777777" w:rsidR="008D041B" w:rsidRDefault="0099442C">
            <w:r>
              <w:t>Linear</w:t>
            </w:r>
          </w:p>
        </w:tc>
        <w:tc>
          <w:tcPr>
            <w:tcW w:w="1512" w:type="dxa"/>
          </w:tcPr>
          <w:p w14:paraId="01A306B0" w14:textId="77777777" w:rsidR="008D041B" w:rsidRDefault="0099442C">
            <w:r>
              <w:t>None</w:t>
            </w:r>
          </w:p>
        </w:tc>
      </w:tr>
      <w:tr w:rsidR="008D041B" w14:paraId="03834704" w14:textId="77777777" w:rsidTr="0080169A">
        <w:tc>
          <w:tcPr>
            <w:tcW w:w="1512" w:type="dxa"/>
          </w:tcPr>
          <w:p w14:paraId="617A891B" w14:textId="77777777" w:rsidR="008D041B" w:rsidRDefault="0099442C">
            <w:r>
              <w:t>03</w:t>
            </w:r>
          </w:p>
        </w:tc>
        <w:tc>
          <w:tcPr>
            <w:tcW w:w="1512" w:type="dxa"/>
          </w:tcPr>
          <w:p w14:paraId="34EAB0CB" w14:textId="77777777" w:rsidR="008D041B" w:rsidRDefault="0099442C">
            <w:r>
              <w:t>1</w:t>
            </w:r>
          </w:p>
        </w:tc>
        <w:tc>
          <w:tcPr>
            <w:tcW w:w="1512" w:type="dxa"/>
          </w:tcPr>
          <w:p w14:paraId="2A8D2960" w14:textId="77777777" w:rsidR="008D041B" w:rsidRDefault="0099442C">
            <w:r>
              <w:t>1 level</w:t>
            </w:r>
          </w:p>
        </w:tc>
        <w:tc>
          <w:tcPr>
            <w:tcW w:w="1512" w:type="dxa"/>
          </w:tcPr>
          <w:p w14:paraId="04790240" w14:textId="77777777" w:rsidR="008D041B" w:rsidRDefault="0099442C">
            <w:r>
              <w:t>2D rectangle (FSC-A, SSC-A)</w:t>
            </w:r>
          </w:p>
        </w:tc>
        <w:tc>
          <w:tcPr>
            <w:tcW w:w="1512" w:type="dxa"/>
          </w:tcPr>
          <w:p w14:paraId="3157F178" w14:textId="77777777" w:rsidR="008D041B" w:rsidRDefault="0099442C">
            <w:r>
              <w:t>Linear</w:t>
            </w:r>
          </w:p>
        </w:tc>
        <w:tc>
          <w:tcPr>
            <w:tcW w:w="1512" w:type="dxa"/>
          </w:tcPr>
          <w:p w14:paraId="15D7667B" w14:textId="77777777" w:rsidR="008D041B" w:rsidRDefault="0099442C">
            <w:r>
              <w:t>None</w:t>
            </w:r>
          </w:p>
        </w:tc>
      </w:tr>
      <w:tr w:rsidR="008D041B" w14:paraId="32BCCD51" w14:textId="77777777" w:rsidTr="0080169A">
        <w:tc>
          <w:tcPr>
            <w:tcW w:w="1512" w:type="dxa"/>
          </w:tcPr>
          <w:p w14:paraId="5E481F1F" w14:textId="77777777" w:rsidR="008D041B" w:rsidRDefault="0099442C">
            <w:r>
              <w:t>04</w:t>
            </w:r>
          </w:p>
        </w:tc>
        <w:tc>
          <w:tcPr>
            <w:tcW w:w="1512" w:type="dxa"/>
          </w:tcPr>
          <w:p w14:paraId="0FDECAB9" w14:textId="77777777" w:rsidR="008D041B" w:rsidRDefault="0099442C">
            <w:r>
              <w:t>1</w:t>
            </w:r>
          </w:p>
        </w:tc>
        <w:tc>
          <w:tcPr>
            <w:tcW w:w="1512" w:type="dxa"/>
          </w:tcPr>
          <w:p w14:paraId="7113C23E" w14:textId="77777777" w:rsidR="008D041B" w:rsidRDefault="0099442C">
            <w:r>
              <w:t>1 level</w:t>
            </w:r>
          </w:p>
        </w:tc>
        <w:tc>
          <w:tcPr>
            <w:tcW w:w="1512" w:type="dxa"/>
          </w:tcPr>
          <w:p w14:paraId="1E0FB6B7" w14:textId="77777777" w:rsidR="008D041B" w:rsidRDefault="0099442C">
            <w:r>
              <w:t>Polygon on FSC-A vs FSC-H (6 vertices)</w:t>
            </w:r>
          </w:p>
        </w:tc>
        <w:tc>
          <w:tcPr>
            <w:tcW w:w="1512" w:type="dxa"/>
          </w:tcPr>
          <w:p w14:paraId="5BE15D6D" w14:textId="77777777" w:rsidR="008D041B" w:rsidRDefault="0099442C">
            <w:r>
              <w:t>Linear</w:t>
            </w:r>
          </w:p>
        </w:tc>
        <w:tc>
          <w:tcPr>
            <w:tcW w:w="1512" w:type="dxa"/>
          </w:tcPr>
          <w:p w14:paraId="6FC9FB5B" w14:textId="77777777" w:rsidR="008D041B" w:rsidRDefault="0099442C">
            <w:r>
              <w:t>None</w:t>
            </w:r>
          </w:p>
        </w:tc>
      </w:tr>
      <w:tr w:rsidR="008D041B" w:rsidRPr="00431A34" w14:paraId="45DA4522" w14:textId="77777777" w:rsidTr="0080169A">
        <w:tc>
          <w:tcPr>
            <w:tcW w:w="1512" w:type="dxa"/>
          </w:tcPr>
          <w:p w14:paraId="101D6EA0" w14:textId="77777777" w:rsidR="008D041B" w:rsidRDefault="0099442C">
            <w:r>
              <w:t>05</w:t>
            </w:r>
          </w:p>
        </w:tc>
        <w:tc>
          <w:tcPr>
            <w:tcW w:w="1512" w:type="dxa"/>
          </w:tcPr>
          <w:p w14:paraId="5429AD91" w14:textId="77777777" w:rsidR="008D041B" w:rsidRDefault="0099442C">
            <w:r>
              <w:t>1</w:t>
            </w:r>
          </w:p>
        </w:tc>
        <w:tc>
          <w:tcPr>
            <w:tcW w:w="1512" w:type="dxa"/>
          </w:tcPr>
          <w:p w14:paraId="5DF46B6A" w14:textId="77777777" w:rsidR="008D041B" w:rsidRDefault="0099442C">
            <w:r>
              <w:t>1 level</w:t>
            </w:r>
          </w:p>
        </w:tc>
        <w:tc>
          <w:tcPr>
            <w:tcW w:w="1512" w:type="dxa"/>
          </w:tcPr>
          <w:p w14:paraId="04C9B640" w14:textId="77777777" w:rsidR="008D041B" w:rsidRPr="00977AB2" w:rsidRDefault="0099442C">
            <w:pPr>
              <w:rPr>
                <w:lang w:val="en-US"/>
              </w:rPr>
            </w:pPr>
            <w:r w:rsidRPr="00977AB2">
              <w:rPr>
                <w:lang w:val="en-US"/>
              </w:rPr>
              <w:t>Ellipsoid on FSC-A vs SSC-A</w:t>
            </w:r>
          </w:p>
        </w:tc>
        <w:tc>
          <w:tcPr>
            <w:tcW w:w="1512" w:type="dxa"/>
          </w:tcPr>
          <w:p w14:paraId="49616893" w14:textId="77777777" w:rsidR="008D041B" w:rsidRDefault="0099442C">
            <w:r>
              <w:t>Linear</w:t>
            </w:r>
          </w:p>
        </w:tc>
        <w:tc>
          <w:tcPr>
            <w:tcW w:w="1512" w:type="dxa"/>
          </w:tcPr>
          <w:p w14:paraId="38F5B980" w14:textId="77777777" w:rsidR="008D041B" w:rsidRPr="00977AB2" w:rsidRDefault="0099442C">
            <w:pPr>
              <w:rPr>
                <w:lang w:val="en-US"/>
              </w:rPr>
            </w:pPr>
            <w:r w:rsidRPr="00977AB2">
              <w:rPr>
                <w:lang w:val="en-US"/>
              </w:rPr>
              <w:t>Minor coordinate difference expected from eigenvalue decomposition</w:t>
            </w:r>
          </w:p>
        </w:tc>
      </w:tr>
      <w:tr w:rsidR="008D041B" w14:paraId="06A34EA0" w14:textId="77777777" w:rsidTr="0080169A">
        <w:tc>
          <w:tcPr>
            <w:tcW w:w="1512" w:type="dxa"/>
          </w:tcPr>
          <w:p w14:paraId="619AF6D3" w14:textId="77777777" w:rsidR="008D041B" w:rsidRDefault="0099442C">
            <w:r>
              <w:t>06</w:t>
            </w:r>
          </w:p>
        </w:tc>
        <w:tc>
          <w:tcPr>
            <w:tcW w:w="1512" w:type="dxa"/>
          </w:tcPr>
          <w:p w14:paraId="10FBF5D1" w14:textId="77777777" w:rsidR="008D041B" w:rsidRDefault="0099442C">
            <w:r>
              <w:t>1</w:t>
            </w:r>
          </w:p>
        </w:tc>
        <w:tc>
          <w:tcPr>
            <w:tcW w:w="1512" w:type="dxa"/>
          </w:tcPr>
          <w:p w14:paraId="2D11FB63" w14:textId="77777777" w:rsidR="008D041B" w:rsidRDefault="0099442C">
            <w:r>
              <w:t>1 level</w:t>
            </w:r>
          </w:p>
        </w:tc>
        <w:tc>
          <w:tcPr>
            <w:tcW w:w="1512" w:type="dxa"/>
          </w:tcPr>
          <w:p w14:paraId="25E5E21A" w14:textId="77777777" w:rsidR="008D041B" w:rsidRDefault="0099442C">
            <w:r>
              <w:t>1D rectangle on FITC-A</w:t>
            </w:r>
          </w:p>
        </w:tc>
        <w:tc>
          <w:tcPr>
            <w:tcW w:w="1512" w:type="dxa"/>
          </w:tcPr>
          <w:p w14:paraId="7F1FD0D0" w14:textId="77777777" w:rsidR="008D041B" w:rsidRDefault="0099442C">
            <w:r>
              <w:t>Biexponential (channelRange=4096, pos=4.5, neg=0)</w:t>
            </w:r>
          </w:p>
        </w:tc>
        <w:tc>
          <w:tcPr>
            <w:tcW w:w="1512" w:type="dxa"/>
          </w:tcPr>
          <w:p w14:paraId="029AC5CF" w14:textId="77777777" w:rsidR="008D041B" w:rsidRDefault="0099442C">
            <w:r>
              <w:t>None</w:t>
            </w:r>
          </w:p>
        </w:tc>
      </w:tr>
      <w:tr w:rsidR="008D041B" w:rsidRPr="00431A34" w14:paraId="1B7CC01C" w14:textId="77777777" w:rsidTr="0080169A">
        <w:tc>
          <w:tcPr>
            <w:tcW w:w="1512" w:type="dxa"/>
          </w:tcPr>
          <w:p w14:paraId="420BFAFD" w14:textId="77777777" w:rsidR="008D041B" w:rsidRDefault="0099442C">
            <w:r>
              <w:t>07</w:t>
            </w:r>
          </w:p>
        </w:tc>
        <w:tc>
          <w:tcPr>
            <w:tcW w:w="1512" w:type="dxa"/>
          </w:tcPr>
          <w:p w14:paraId="60A8827C" w14:textId="77777777" w:rsidR="008D041B" w:rsidRDefault="0099442C">
            <w:r>
              <w:t>1</w:t>
            </w:r>
          </w:p>
        </w:tc>
        <w:tc>
          <w:tcPr>
            <w:tcW w:w="1512" w:type="dxa"/>
          </w:tcPr>
          <w:p w14:paraId="3BA2CBA7" w14:textId="77777777" w:rsidR="008D041B" w:rsidRDefault="0099442C">
            <w:r>
              <w:t>1 level</w:t>
            </w:r>
          </w:p>
        </w:tc>
        <w:tc>
          <w:tcPr>
            <w:tcW w:w="1512" w:type="dxa"/>
          </w:tcPr>
          <w:p w14:paraId="6F6BA220" w14:textId="77777777" w:rsidR="008D041B" w:rsidRDefault="0099442C">
            <w:r>
              <w:t>1D rectangle on PE-A</w:t>
            </w:r>
          </w:p>
        </w:tc>
        <w:tc>
          <w:tcPr>
            <w:tcW w:w="1512" w:type="dxa"/>
          </w:tcPr>
          <w:p w14:paraId="0F37AB60" w14:textId="77777777" w:rsidR="008D041B" w:rsidRDefault="0099442C">
            <w:r>
              <w:t>Log (t=262144, m=4.5)</w:t>
            </w:r>
          </w:p>
        </w:tc>
        <w:tc>
          <w:tcPr>
            <w:tcW w:w="1512" w:type="dxa"/>
          </w:tcPr>
          <w:p w14:paraId="65B63E31" w14:textId="77777777" w:rsidR="008D041B" w:rsidRPr="00977AB2" w:rsidRDefault="0099442C">
            <w:pPr>
              <w:rPr>
                <w:lang w:val="en-US"/>
              </w:rPr>
            </w:pPr>
            <w:r w:rsidRPr="00977AB2">
              <w:rPr>
                <w:lang w:val="en-US"/>
              </w:rPr>
              <w:t>Gate position drifts on round-trip; minor count difference expected</w:t>
            </w:r>
          </w:p>
        </w:tc>
      </w:tr>
      <w:tr w:rsidR="008D041B" w14:paraId="4FC22E2B" w14:textId="77777777" w:rsidTr="0080169A">
        <w:tc>
          <w:tcPr>
            <w:tcW w:w="1512" w:type="dxa"/>
          </w:tcPr>
          <w:p w14:paraId="1BE2B1A3" w14:textId="77777777" w:rsidR="008D041B" w:rsidRDefault="0099442C">
            <w:r>
              <w:t>08</w:t>
            </w:r>
          </w:p>
        </w:tc>
        <w:tc>
          <w:tcPr>
            <w:tcW w:w="1512" w:type="dxa"/>
          </w:tcPr>
          <w:p w14:paraId="62C58E48" w14:textId="77777777" w:rsidR="008D041B" w:rsidRDefault="0099442C">
            <w:r>
              <w:t>1</w:t>
            </w:r>
          </w:p>
        </w:tc>
        <w:tc>
          <w:tcPr>
            <w:tcW w:w="1512" w:type="dxa"/>
          </w:tcPr>
          <w:p w14:paraId="4FF058B7" w14:textId="77777777" w:rsidR="008D041B" w:rsidRDefault="0099442C">
            <w:r>
              <w:t>1 level</w:t>
            </w:r>
          </w:p>
        </w:tc>
        <w:tc>
          <w:tcPr>
            <w:tcW w:w="1512" w:type="dxa"/>
          </w:tcPr>
          <w:p w14:paraId="52884849" w14:textId="77777777" w:rsidR="008D041B" w:rsidRDefault="0099442C">
            <w:r>
              <w:t>1D rectangle on APC-A</w:t>
            </w:r>
          </w:p>
        </w:tc>
        <w:tc>
          <w:tcPr>
            <w:tcW w:w="1512" w:type="dxa"/>
          </w:tcPr>
          <w:p w14:paraId="5149F043" w14:textId="77777777" w:rsidR="008D041B" w:rsidRDefault="0099442C">
            <w:r>
              <w:t>Arcsinh (T=262144, M=4.5, A=0)</w:t>
            </w:r>
          </w:p>
        </w:tc>
        <w:tc>
          <w:tcPr>
            <w:tcW w:w="1512" w:type="dxa"/>
          </w:tcPr>
          <w:p w14:paraId="1C9308B8" w14:textId="1EF0DC66" w:rsidR="008D041B" w:rsidRDefault="0058437D">
            <w:r w:rsidRPr="0058437D">
              <w:rPr>
                <w:lang w:val="en-US"/>
              </w:rPr>
              <w:t xml:space="preserve">Arcsinh transform not correctly rendered in FJ11 when imported from v10 XML; excluded from FJ11 count comparison. </w:t>
            </w:r>
            <w:r w:rsidRPr="0058437D">
              <w:t xml:space="preserve">FJ10 count </w:t>
            </w:r>
            <w:r w:rsidRPr="0058437D">
              <w:lastRenderedPageBreak/>
              <w:t>is exact (diff = 0).</w:t>
            </w:r>
          </w:p>
        </w:tc>
      </w:tr>
      <w:tr w:rsidR="008D041B" w14:paraId="0609EE4A" w14:textId="77777777" w:rsidTr="0080169A">
        <w:tc>
          <w:tcPr>
            <w:tcW w:w="1512" w:type="dxa"/>
          </w:tcPr>
          <w:p w14:paraId="677211B8" w14:textId="77777777" w:rsidR="008D041B" w:rsidRDefault="0099442C">
            <w:r>
              <w:lastRenderedPageBreak/>
              <w:t>09</w:t>
            </w:r>
          </w:p>
        </w:tc>
        <w:tc>
          <w:tcPr>
            <w:tcW w:w="1512" w:type="dxa"/>
          </w:tcPr>
          <w:p w14:paraId="1E1EA17A" w14:textId="77777777" w:rsidR="008D041B" w:rsidRDefault="0099442C">
            <w:r>
              <w:t>1</w:t>
            </w:r>
          </w:p>
        </w:tc>
        <w:tc>
          <w:tcPr>
            <w:tcW w:w="1512" w:type="dxa"/>
          </w:tcPr>
          <w:p w14:paraId="182592CD" w14:textId="77777777" w:rsidR="008D041B" w:rsidRDefault="0099442C">
            <w:r>
              <w:t>2 levels: cells → singlets</w:t>
            </w:r>
          </w:p>
        </w:tc>
        <w:tc>
          <w:tcPr>
            <w:tcW w:w="1512" w:type="dxa"/>
          </w:tcPr>
          <w:p w14:paraId="747D6EE7" w14:textId="77777777" w:rsidR="008D041B" w:rsidRDefault="0099442C">
            <w:r>
              <w:t>2D rectangle × 2</w:t>
            </w:r>
          </w:p>
        </w:tc>
        <w:tc>
          <w:tcPr>
            <w:tcW w:w="1512" w:type="dxa"/>
          </w:tcPr>
          <w:p w14:paraId="0B14891C" w14:textId="77777777" w:rsidR="008D041B" w:rsidRDefault="0099442C">
            <w:r>
              <w:t>Linear</w:t>
            </w:r>
          </w:p>
        </w:tc>
        <w:tc>
          <w:tcPr>
            <w:tcW w:w="1512" w:type="dxa"/>
          </w:tcPr>
          <w:p w14:paraId="2DDCADF2" w14:textId="77777777" w:rsidR="008D041B" w:rsidRDefault="0099442C">
            <w:r>
              <w:t>None</w:t>
            </w:r>
          </w:p>
        </w:tc>
      </w:tr>
      <w:tr w:rsidR="008D041B" w14:paraId="137E85CD" w14:textId="77777777" w:rsidTr="0080169A">
        <w:tc>
          <w:tcPr>
            <w:tcW w:w="1512" w:type="dxa"/>
          </w:tcPr>
          <w:p w14:paraId="46074A66" w14:textId="77777777" w:rsidR="008D041B" w:rsidRDefault="0099442C">
            <w:r>
              <w:t>10</w:t>
            </w:r>
          </w:p>
        </w:tc>
        <w:tc>
          <w:tcPr>
            <w:tcW w:w="1512" w:type="dxa"/>
          </w:tcPr>
          <w:p w14:paraId="20BE09C4" w14:textId="77777777" w:rsidR="008D041B" w:rsidRDefault="0099442C">
            <w:r>
              <w:t>1</w:t>
            </w:r>
          </w:p>
        </w:tc>
        <w:tc>
          <w:tcPr>
            <w:tcW w:w="1512" w:type="dxa"/>
          </w:tcPr>
          <w:p w14:paraId="35896E75" w14:textId="77777777" w:rsidR="008D041B" w:rsidRPr="00977AB2" w:rsidRDefault="0099442C">
            <w:pPr>
              <w:rPr>
                <w:lang w:val="en-US"/>
              </w:rPr>
            </w:pPr>
            <w:r w:rsidRPr="00977AB2">
              <w:rPr>
                <w:lang w:val="en-US"/>
              </w:rPr>
              <w:t>2 levels: root → {FSC_gate, SSC_gate, both}</w:t>
            </w:r>
          </w:p>
        </w:tc>
        <w:tc>
          <w:tcPr>
            <w:tcW w:w="1512" w:type="dxa"/>
          </w:tcPr>
          <w:p w14:paraId="745F5891" w14:textId="77777777" w:rsidR="008D041B" w:rsidRDefault="0099442C">
            <w:r>
              <w:t>2× 1D rectangle + Boolean AND</w:t>
            </w:r>
          </w:p>
        </w:tc>
        <w:tc>
          <w:tcPr>
            <w:tcW w:w="1512" w:type="dxa"/>
          </w:tcPr>
          <w:p w14:paraId="08D59942" w14:textId="77777777" w:rsidR="008D041B" w:rsidRDefault="0099442C">
            <w:r>
              <w:t>Linear</w:t>
            </w:r>
          </w:p>
        </w:tc>
        <w:tc>
          <w:tcPr>
            <w:tcW w:w="1512" w:type="dxa"/>
          </w:tcPr>
          <w:p w14:paraId="05651FB8" w14:textId="77777777" w:rsidR="008D041B" w:rsidRDefault="0099442C">
            <w:r>
              <w:t>None</w:t>
            </w:r>
          </w:p>
        </w:tc>
      </w:tr>
      <w:tr w:rsidR="008D041B" w:rsidRPr="0058437D" w14:paraId="02D0FFC0" w14:textId="77777777" w:rsidTr="0080169A">
        <w:tc>
          <w:tcPr>
            <w:tcW w:w="1512" w:type="dxa"/>
          </w:tcPr>
          <w:p w14:paraId="77DFC689" w14:textId="77777777" w:rsidR="008D041B" w:rsidRDefault="0099442C">
            <w:r>
              <w:t>11</w:t>
            </w:r>
          </w:p>
        </w:tc>
        <w:tc>
          <w:tcPr>
            <w:tcW w:w="1512" w:type="dxa"/>
          </w:tcPr>
          <w:p w14:paraId="5ED07765" w14:textId="77777777" w:rsidR="008D041B" w:rsidRDefault="0099442C">
            <w:r>
              <w:t>22</w:t>
            </w:r>
          </w:p>
        </w:tc>
        <w:tc>
          <w:tcPr>
            <w:tcW w:w="1512" w:type="dxa"/>
          </w:tcPr>
          <w:p w14:paraId="7E8140AB" w14:textId="77777777" w:rsidR="008D041B" w:rsidRDefault="0099442C">
            <w:r>
              <w:t>2 levels: cells → {FITC_pos, APC_pos, singlets, double_pos, either_pos}</w:t>
            </w:r>
          </w:p>
        </w:tc>
        <w:tc>
          <w:tcPr>
            <w:tcW w:w="1512" w:type="dxa"/>
          </w:tcPr>
          <w:p w14:paraId="3F9ADE4D" w14:textId="77777777" w:rsidR="008D041B" w:rsidRPr="00977AB2" w:rsidRDefault="0099442C">
            <w:pPr>
              <w:rPr>
                <w:lang w:val="en-US"/>
              </w:rPr>
            </w:pPr>
            <w:r w:rsidRPr="00977AB2">
              <w:rPr>
                <w:lang w:val="en-US"/>
              </w:rPr>
              <w:t>2D rect + 2× 1D rect + polygon + 2× boolean</w:t>
            </w:r>
          </w:p>
        </w:tc>
        <w:tc>
          <w:tcPr>
            <w:tcW w:w="1512" w:type="dxa"/>
          </w:tcPr>
          <w:p w14:paraId="334F0551" w14:textId="77777777" w:rsidR="008D041B" w:rsidRPr="00977AB2" w:rsidRDefault="0099442C">
            <w:pPr>
              <w:rPr>
                <w:lang w:val="en-US"/>
              </w:rPr>
            </w:pPr>
            <w:r w:rsidRPr="00977AB2">
              <w:rPr>
                <w:lang w:val="en-US"/>
              </w:rPr>
              <w:t>Biexponential (FITC-A) + arcsinh (APC-A) + linear</w:t>
            </w:r>
          </w:p>
        </w:tc>
        <w:tc>
          <w:tcPr>
            <w:tcW w:w="1512" w:type="dxa"/>
          </w:tcPr>
          <w:p w14:paraId="798BC9FE" w14:textId="6F5BFC84" w:rsidR="008D041B" w:rsidRPr="0058437D" w:rsidRDefault="0058437D">
            <w:pPr>
              <w:rPr>
                <w:lang w:val="en-US"/>
              </w:rPr>
            </w:pPr>
            <w:r w:rsidRPr="0058437D">
              <w:rPr>
                <w:lang w:val="en-US"/>
              </w:rPr>
              <w:t xml:space="preserve">Boolean gates (double_pos, either_pos) not imported by FJ11; required manual reconstruction; excluded from FJ11 comparison. APC_pos (arcsinh) also excluded from FJ11 comparison. </w:t>
            </w:r>
          </w:p>
        </w:tc>
      </w:tr>
      <w:tr w:rsidR="008D041B" w:rsidRPr="00431A34" w14:paraId="47ECB926" w14:textId="77777777" w:rsidTr="0080169A">
        <w:tc>
          <w:tcPr>
            <w:tcW w:w="1512" w:type="dxa"/>
          </w:tcPr>
          <w:p w14:paraId="26F02093" w14:textId="77777777" w:rsidR="008D041B" w:rsidRDefault="0099442C">
            <w:r>
              <w:t>12</w:t>
            </w:r>
          </w:p>
        </w:tc>
        <w:tc>
          <w:tcPr>
            <w:tcW w:w="1512" w:type="dxa"/>
          </w:tcPr>
          <w:p w14:paraId="651E673E" w14:textId="77777777" w:rsidR="008D041B" w:rsidRDefault="0099442C">
            <w:r>
              <w:t>1</w:t>
            </w:r>
          </w:p>
        </w:tc>
        <w:tc>
          <w:tcPr>
            <w:tcW w:w="1512" w:type="dxa"/>
          </w:tcPr>
          <w:p w14:paraId="5A6B9D13" w14:textId="77777777" w:rsidR="008D041B" w:rsidRPr="00977AB2" w:rsidRDefault="0099442C">
            <w:pPr>
              <w:rPr>
                <w:lang w:val="en-US"/>
              </w:rPr>
            </w:pPr>
            <w:r w:rsidRPr="00977AB2">
              <w:rPr>
                <w:lang w:val="en-US"/>
              </w:rPr>
              <w:t>2 levels: root → {cells, scatter_ellipse}; cells → {FITC_hi, PE_hi, double_hi, either_hi, neither}</w:t>
            </w:r>
          </w:p>
        </w:tc>
        <w:tc>
          <w:tcPr>
            <w:tcW w:w="1512" w:type="dxa"/>
          </w:tcPr>
          <w:p w14:paraId="6D75BCCA" w14:textId="77777777" w:rsidR="008D041B" w:rsidRPr="00977AB2" w:rsidRDefault="0099442C">
            <w:pPr>
              <w:rPr>
                <w:lang w:val="en-US"/>
              </w:rPr>
            </w:pPr>
            <w:r w:rsidRPr="00977AB2">
              <w:rPr>
                <w:lang w:val="en-US"/>
              </w:rPr>
              <w:t>2D rect + ellipsoid + 2× range + 3× boolean (AND/OR/NOT)</w:t>
            </w:r>
          </w:p>
        </w:tc>
        <w:tc>
          <w:tcPr>
            <w:tcW w:w="1512" w:type="dxa"/>
          </w:tcPr>
          <w:p w14:paraId="58D877E2" w14:textId="77777777" w:rsidR="008D041B" w:rsidRPr="00977AB2" w:rsidRDefault="0099442C">
            <w:pPr>
              <w:rPr>
                <w:lang w:val="en-US"/>
              </w:rPr>
            </w:pPr>
            <w:r w:rsidRPr="00977AB2">
              <w:rPr>
                <w:lang w:val="en-US"/>
              </w:rPr>
              <w:t>Log (PE-A) + biexponential (FITC-A) + linear</w:t>
            </w:r>
          </w:p>
        </w:tc>
        <w:tc>
          <w:tcPr>
            <w:tcW w:w="1512" w:type="dxa"/>
          </w:tcPr>
          <w:p w14:paraId="037C0587" w14:textId="0CC94FCE" w:rsidR="008D041B" w:rsidRPr="00977AB2" w:rsidRDefault="0058437D">
            <w:pPr>
              <w:rPr>
                <w:lang w:val="en-US"/>
              </w:rPr>
            </w:pPr>
            <w:r w:rsidRPr="0058437D">
              <w:rPr>
                <w:lang w:val="en-US"/>
              </w:rPr>
              <w:t xml:space="preserve">Log-transformed gate PE_hi severely misinterpreted by FJ11 on direct import (FJ11 = 2032 vs R = 3831; 1799-cell discrepancy, 47%); correctly restored after manual gate revision in FJ11. Boolean gates not imported by FJ11; </w:t>
            </w:r>
            <w:r w:rsidRPr="0058437D">
              <w:rPr>
                <w:lang w:val="en-US"/>
              </w:rPr>
              <w:lastRenderedPageBreak/>
              <w:t>required manual reconstruction. Ellipse gate (scatter_ellipse) required manual redrawing in FJ11.</w:t>
            </w:r>
          </w:p>
        </w:tc>
      </w:tr>
      <w:tr w:rsidR="008D041B" w:rsidRPr="00431A34" w14:paraId="760DD40D" w14:textId="77777777" w:rsidTr="0080169A">
        <w:tc>
          <w:tcPr>
            <w:tcW w:w="1512" w:type="dxa"/>
          </w:tcPr>
          <w:p w14:paraId="5F87CDFB" w14:textId="77777777" w:rsidR="008D041B" w:rsidRDefault="0099442C">
            <w:r>
              <w:lastRenderedPageBreak/>
              <w:t>13</w:t>
            </w:r>
          </w:p>
        </w:tc>
        <w:tc>
          <w:tcPr>
            <w:tcW w:w="1512" w:type="dxa"/>
          </w:tcPr>
          <w:p w14:paraId="77F5F497" w14:textId="77777777" w:rsidR="008D041B" w:rsidRDefault="0099442C">
            <w:r>
              <w:t>1</w:t>
            </w:r>
          </w:p>
        </w:tc>
        <w:tc>
          <w:tcPr>
            <w:tcW w:w="1512" w:type="dxa"/>
          </w:tcPr>
          <w:p w14:paraId="31B53FF7" w14:textId="77777777" w:rsidR="008D041B" w:rsidRPr="00977AB2" w:rsidRDefault="0099442C">
            <w:pPr>
              <w:rPr>
                <w:lang w:val="en-US"/>
              </w:rPr>
            </w:pPr>
            <w:r w:rsidRPr="00977AB2">
              <w:rPr>
                <w:lang w:val="en-US"/>
              </w:rPr>
              <w:t>3 levels: live → {singlets, FITC_PE_gate}; singlets → {FITC_pos, APC_pos, double_pos, not_double}</w:t>
            </w:r>
          </w:p>
        </w:tc>
        <w:tc>
          <w:tcPr>
            <w:tcW w:w="1512" w:type="dxa"/>
          </w:tcPr>
          <w:p w14:paraId="1163AAFE" w14:textId="77777777" w:rsidR="008D041B" w:rsidRPr="00977AB2" w:rsidRDefault="0099442C">
            <w:pPr>
              <w:rPr>
                <w:lang w:val="en-US"/>
              </w:rPr>
            </w:pPr>
            <w:r w:rsidRPr="00977AB2">
              <w:rPr>
                <w:lang w:val="en-US"/>
              </w:rPr>
              <w:t>Polygon + 2D rect + ellipsoid + 3× 1D rect + 2× boolean</w:t>
            </w:r>
          </w:p>
        </w:tc>
        <w:tc>
          <w:tcPr>
            <w:tcW w:w="1512" w:type="dxa"/>
          </w:tcPr>
          <w:p w14:paraId="37A397F5" w14:textId="77777777" w:rsidR="008D041B" w:rsidRPr="00977AB2" w:rsidRDefault="0099442C">
            <w:pPr>
              <w:rPr>
                <w:lang w:val="en-US"/>
              </w:rPr>
            </w:pPr>
            <w:r w:rsidRPr="00977AB2">
              <w:rPr>
                <w:lang w:val="en-US"/>
              </w:rPr>
              <w:t>Arcsinh (FITC-A, PE-A, APC-A) + linear</w:t>
            </w:r>
          </w:p>
        </w:tc>
        <w:tc>
          <w:tcPr>
            <w:tcW w:w="1512" w:type="dxa"/>
          </w:tcPr>
          <w:p w14:paraId="1A096900" w14:textId="574DB0F8" w:rsidR="008D041B" w:rsidRPr="00977AB2" w:rsidRDefault="0058437D">
            <w:pPr>
              <w:rPr>
                <w:lang w:val="en-US"/>
              </w:rPr>
            </w:pPr>
            <w:r w:rsidRPr="0058437D">
              <w:rPr>
                <w:lang w:val="en-US"/>
              </w:rPr>
              <w:t>Excluded from FJ11 comparison: arcsinh-based ellipse (FITC_PE_gate) shows large discrepancy (FJ11 = 2158 vs R = 2983; diff = 825 cells). All arcsinh gates (FITC_pos, APC_pos, FITC_PE_gate) and boolean gates (double_pos, not_double) excluded from FJ11 comparison.</w:t>
            </w:r>
          </w:p>
        </w:tc>
      </w:tr>
      <w:tr w:rsidR="0080169A" w:rsidRPr="00431A34" w14:paraId="4C4B9BFC" w14:textId="77777777" w:rsidTr="0080169A">
        <w:tc>
          <w:tcPr>
            <w:tcW w:w="1512" w:type="dxa"/>
          </w:tcPr>
          <w:p w14:paraId="05F734D1" w14:textId="1774EED0" w:rsidR="0080169A" w:rsidRDefault="0080169A" w:rsidP="0080169A">
            <w:r>
              <w:t>14</w:t>
            </w:r>
          </w:p>
        </w:tc>
        <w:tc>
          <w:tcPr>
            <w:tcW w:w="1512" w:type="dxa"/>
          </w:tcPr>
          <w:p w14:paraId="77B1F77C" w14:textId="229520C9" w:rsidR="0080169A" w:rsidRDefault="0080169A" w:rsidP="0080169A">
            <w:r w:rsidRPr="00E30EFE">
              <w:t>1 (real)</w:t>
            </w:r>
          </w:p>
        </w:tc>
        <w:tc>
          <w:tcPr>
            <w:tcW w:w="1512" w:type="dxa"/>
          </w:tcPr>
          <w:p w14:paraId="01704DC8" w14:textId="4E178FF1" w:rsidR="0080169A" w:rsidRPr="0080169A" w:rsidRDefault="0080169A" w:rsidP="0080169A">
            <w:r w:rsidRPr="00E30EFE">
              <w:t xml:space="preserve">3 levels: Lymphocytes → Singlets → Singlets2 → {NK1_1+, NK1_1−, NK cells, NK T cells, B cells, T cells}; T cells → {Ab T cells, Gd T cells}; Ab T cells → {CD4, CD8, </w:t>
            </w:r>
            <w:r w:rsidRPr="00E30EFE">
              <w:lastRenderedPageBreak/>
              <w:t>DN, DP T cells}</w:t>
            </w:r>
          </w:p>
        </w:tc>
        <w:tc>
          <w:tcPr>
            <w:tcW w:w="1512" w:type="dxa"/>
          </w:tcPr>
          <w:p w14:paraId="4C649D30" w14:textId="78F9F0FB" w:rsidR="0080169A" w:rsidRPr="0080169A" w:rsidRDefault="0080169A" w:rsidP="0080169A">
            <w:r w:rsidRPr="00E30EFE">
              <w:lastRenderedPageBreak/>
              <w:t>Polygon (Lymphocytes, Ab T cells, Gd T cells); 2D rectangle × 9; 1D rectangle × 2</w:t>
            </w:r>
          </w:p>
        </w:tc>
        <w:tc>
          <w:tcPr>
            <w:tcW w:w="1512" w:type="dxa"/>
          </w:tcPr>
          <w:p w14:paraId="4AEF28BC" w14:textId="279EC49F" w:rsidR="0080169A" w:rsidRPr="00977AB2" w:rsidRDefault="0080169A" w:rsidP="0080169A">
            <w:pPr>
              <w:rPr>
                <w:lang w:val="en-US"/>
              </w:rPr>
            </w:pPr>
            <w:r w:rsidRPr="00E30EFE">
              <w:t>Linear (scatter); biexponential (fluorescence, compensation applied)</w:t>
            </w:r>
          </w:p>
        </w:tc>
        <w:tc>
          <w:tcPr>
            <w:tcW w:w="1512" w:type="dxa"/>
          </w:tcPr>
          <w:p w14:paraId="53FA819F" w14:textId="10E9CFC5" w:rsidR="0080169A" w:rsidRPr="0058437D" w:rsidRDefault="0080169A" w:rsidP="0080169A">
            <w:pPr>
              <w:rPr>
                <w:lang w:val="en-US"/>
              </w:rPr>
            </w:pPr>
            <w:r w:rsidRPr="0080169A">
              <w:rPr>
                <w:lang w:val="en-US"/>
              </w:rPr>
              <w:t xml:space="preserve">Source: FlowSOM R package (68983.fcs + gating.wsp; mouse bone marrow). Pipeline: CytoML v10 import → CyFj11 v10 export. FJ11: marker name "NK1_1+" </w:t>
            </w:r>
            <w:r w:rsidRPr="0080169A">
              <w:rPr>
                <w:lang w:val="en-US"/>
              </w:rPr>
              <w:lastRenderedPageBreak/>
              <w:t xml:space="preserve">not parsed correctly → cascading NA for all downstream populations. </w:t>
            </w:r>
            <w:r w:rsidRPr="00E30EFE">
              <w:t>FJ10: all 15 populations reproduced with max deviation 10 cells (0.05%).</w:t>
            </w:r>
          </w:p>
        </w:tc>
      </w:tr>
    </w:tbl>
    <w:p w14:paraId="0B8CF9A0" w14:textId="77777777" w:rsidR="008D041B" w:rsidRDefault="00F065AE">
      <w:r>
        <w:rPr>
          <w:noProof/>
        </w:rPr>
        <w:lastRenderedPageBreak/>
        <w:pict w14:anchorId="13579C7F">
          <v:rect id="_x0000_i1032" alt="" style="width:451.3pt;height:.05pt;mso-width-percent:0;mso-height-percent:0;mso-width-percent:0;mso-height-percent:0" o:hralign="center" o:hrstd="t" o:hr="t"/>
        </w:pict>
      </w:r>
    </w:p>
    <w:p w14:paraId="3A512F30" w14:textId="77777777" w:rsidR="008D041B" w:rsidRDefault="0099442C">
      <w:r>
        <w:br w:type="page"/>
      </w:r>
    </w:p>
    <w:p w14:paraId="578C29E4" w14:textId="7D96C889" w:rsidR="008D041B" w:rsidRPr="000048C0" w:rsidRDefault="000048C0" w:rsidP="000048C0">
      <w:pPr>
        <w:pStyle w:val="Heading1"/>
        <w:numPr>
          <w:ilvl w:val="0"/>
          <w:numId w:val="0"/>
        </w:numPr>
        <w:ind w:left="426"/>
        <w:rPr>
          <w:lang w:val="en-US"/>
        </w:rPr>
      </w:pPr>
      <w:bookmarkStart w:id="26" w:name="annex-c-miflowcyt-compliance-checklist"/>
      <w:bookmarkEnd w:id="25"/>
      <w:r w:rsidRPr="000048C0">
        <w:rPr>
          <w:rStyle w:val="Strong"/>
          <w:lang w:val="en-US"/>
        </w:rPr>
        <w:lastRenderedPageBreak/>
        <w:t>Supplementary File 3</w:t>
      </w:r>
      <w:r w:rsidR="0099442C" w:rsidRPr="000048C0">
        <w:rPr>
          <w:lang w:val="en-US"/>
        </w:rPr>
        <w:t>: MIFlowCyt Compliance Checklist</w:t>
      </w:r>
    </w:p>
    <w:p w14:paraId="372FE76C" w14:textId="1153404C" w:rsidR="008D041B" w:rsidRPr="00977AB2" w:rsidRDefault="0099442C">
      <w:pPr>
        <w:rPr>
          <w:lang w:val="en-US"/>
        </w:rPr>
      </w:pPr>
      <w:r w:rsidRPr="00977AB2">
        <w:rPr>
          <w:lang w:val="en-US"/>
        </w:rPr>
        <w:t xml:space="preserve">The MIFlowCyt standard </w:t>
      </w:r>
      <w:r w:rsidR="000048C0">
        <w:rPr>
          <w:lang w:val="en-US"/>
        </w:rPr>
        <w:fldChar w:fldCharType="begin"/>
      </w:r>
      <w:r w:rsidR="000C2A9A">
        <w:rPr>
          <w:lang w:val="en-US"/>
        </w:rPr>
        <w:instrText xml:space="preserve"> ADDIN ZOTERO_ITEM CSL_CITATION {"citationID":"gG8l08Nc","properties":{"unsorted":false,"formattedCitation":"(9)","plainCitation":"(9)","noteIndex":0},"citationItems":[{"id":19667,"uris":["http://zotero.org/groups/2522180/items/QU8IRNNN"],"itemData":{"id":19667,"type":"article-journal","abstract":"Abstract\n            A fundamental tenet of scientific research is that published results are open to independent validation and refutation. Minimum data standards aid data providers, users, and publishers by providing a specification of what is required to unambiguously interpret experimental findings. Here, we present the Minimum Information about a Flow Cytometry Experiment (MIFlowCyt) standard, stating the minimum information required to report flow cytometry (FCM) experiments. We brought together a cross</w:instrText>
      </w:r>
      <w:r w:rsidR="000C2A9A">
        <w:rPr>
          <w:rFonts w:ascii="Cambria Math" w:hAnsi="Cambria Math" w:cs="Cambria Math"/>
          <w:lang w:val="en-US"/>
        </w:rPr>
        <w:instrText>‐</w:instrText>
      </w:r>
      <w:r w:rsidR="000C2A9A">
        <w:rPr>
          <w:lang w:val="en-US"/>
        </w:rPr>
        <w:instrText>disciplinary international collaborative group of bioinformaticians, computational statisticians, software developers, instrument manufacturers, and clinical and basic research scientists to develop the standard. The standard was subsequently vetted by the International Society for Advancement of Cytometry (ISAC) Data Standards Task Force, Standards Committee, membership, and Council. The MIFlowCyt standard includes recommendations about descriptions of the specimens and reagents included in the FCM experiment, the configuration of the instrument used to perform the assays, and the data processing approaches used to interpret the primary output data. MIFlowCyt has been adopted as a standard by ISAC, representing the FCM scientific community including scientists as well as software and hardware manufacturers. Adoptionof MIFlowCyt by the scientific and publishing communities will facilitate third</w:instrText>
      </w:r>
      <w:r w:rsidR="000C2A9A">
        <w:rPr>
          <w:rFonts w:ascii="Cambria Math" w:hAnsi="Cambria Math" w:cs="Cambria Math"/>
          <w:lang w:val="en-US"/>
        </w:rPr>
        <w:instrText>‐</w:instrText>
      </w:r>
      <w:r w:rsidR="000C2A9A">
        <w:rPr>
          <w:lang w:val="en-US"/>
        </w:rPr>
        <w:instrText>party understanding and reuse of FCM data. © 2008 International Society for Advancement of Cytometry","container-title":"Cytometry Part A","DOI":"10.1002/cyto.a.20623","ISSN":"1552-4922, 1552-4930","issue":"10","journalAbbreviation":"Cytometry Pt A","language":"en","license":"http://onlinelibrary.wiley.com/termsAndConditions#vor","page":"926-930","source":"DOI.org (Crossref)","title":"MIFlowCyt: The minimum information about a flow cytometry experiment","title-short":"MIFlowCyt","volume":"73A","author":[{"family":"Lee","given":"Jamie A."},{"family":"Spidlen","given":"Josef"},{"family":"Boyce","given":"Keith"},{"family":"Cai","given":"Jennifer"},{"family":"Crosbie","given":"Nicholas"},{"family":"Dalphin","given":"Mark"},{"family":"Furlong","given":"Jeff"},{"family":"Gasparetto","given":"Maura"},{"family":"Goldberg","given":"Michael"},{"family":"Goralczyk","given":"Elizabeth M."},{"family":"Hyun","given":"Bill"},{"family":"Jansen","given":"Kirstin"},{"family":"Kollmann","given":"Tobias"},{"family":"Kong","given":"Megan"},{"family":"Leif","given":"Robert"},{"family":"McWeeney","given":"Shannon"},{"family":"Moloshok","given":"Thomas D."},{"family":"Moore","given":"Wayne"},{"family":"Nolan","given":"Garry"},{"family":"Nolan","given":"John"},{"family":"Nikolich</w:instrText>
      </w:r>
      <w:r w:rsidR="000C2A9A">
        <w:rPr>
          <w:rFonts w:ascii="Cambria Math" w:hAnsi="Cambria Math" w:cs="Cambria Math"/>
          <w:lang w:val="en-US"/>
        </w:rPr>
        <w:instrText>‐</w:instrText>
      </w:r>
      <w:r w:rsidR="000C2A9A">
        <w:rPr>
          <w:lang w:val="en-US"/>
        </w:rPr>
        <w:instrText xml:space="preserve">Zugich","given":"Janko"},{"family":"Parrish","given":"David"},{"family":"Purcell","given":"Barclay"},{"family":"Qian","given":"Yu"},{"family":"Selvaraj","given":"Biruntha"},{"family":"Smith","given":"Clayton"},{"family":"Tchuvatkina","given":"Olga"},{"family":"Wertheimer","given":"Anne"},{"family":"Wilkinson","given":"Peter"},{"family":"Wilson","given":"Christopher"},{"family":"Wood","given":"James"},{"family":"Zigon","given":"Robert"},{"family":"Scheuermann","given":"Richard H."},{"family":"Brinkman","given":"Ryan R."}],"issued":{"date-parts":[["2008",10]]}}}],"schema":"https://github.com/citation-style-language/schema/raw/master/csl-citation.json"} </w:instrText>
      </w:r>
      <w:r w:rsidR="000048C0">
        <w:rPr>
          <w:lang w:val="en-US"/>
        </w:rPr>
        <w:fldChar w:fldCharType="separate"/>
      </w:r>
      <w:r w:rsidR="000C2A9A">
        <w:rPr>
          <w:noProof/>
          <w:lang w:val="en-US"/>
        </w:rPr>
        <w:t>(9)</w:t>
      </w:r>
      <w:r w:rsidR="000048C0">
        <w:rPr>
          <w:lang w:val="en-US"/>
        </w:rPr>
        <w:fldChar w:fldCharType="end"/>
      </w:r>
      <w:r w:rsidRPr="0084592F">
        <w:rPr>
          <w:color w:val="EE0000"/>
          <w:lang w:val="en-US"/>
        </w:rPr>
        <w:t xml:space="preserve"> </w:t>
      </w:r>
      <w:r w:rsidRPr="00977AB2">
        <w:rPr>
          <w:lang w:val="en-US"/>
        </w:rPr>
        <w:t>specifies minimum information required for reproducible reporting of flow cytometry experiments. The table below audits each MIFlowCyt field category against the CyFj11 pipeline: (1) whether the information is present in a FlowJo v11 workspace, (2) whether fj11_to_gatingset() imports it into the R GatingSet, and (3) whether export_flowjo10_workspace() writes it to the v10 XML.</w:t>
      </w:r>
    </w:p>
    <w:p w14:paraId="43CDDAAC" w14:textId="77777777" w:rsidR="008D041B" w:rsidRPr="00977AB2" w:rsidRDefault="0099442C">
      <w:pPr>
        <w:rPr>
          <w:lang w:val="en-US"/>
        </w:rPr>
      </w:pPr>
      <w:r w:rsidRPr="00977AB2">
        <w:rPr>
          <w:lang w:val="en-US"/>
        </w:rPr>
        <w:t xml:space="preserve">Symbols: ✓ = fully preserved; ~ = partial / conditional; ✗ = not preserved; N/A = not applicable to software tools. </w:t>
      </w:r>
    </w:p>
    <w:p w14:paraId="4B4ADA6A" w14:textId="77777777" w:rsidR="008D041B" w:rsidRDefault="00F065AE">
      <w:r>
        <w:rPr>
          <w:noProof/>
        </w:rPr>
        <w:pict w14:anchorId="03FFDBC8">
          <v:rect id="_x0000_i1031" alt="" style="width:451.3pt;height:.05pt;mso-width-percent:0;mso-height-percent:0;mso-width-percent:0;mso-height-percent:0" o:hralign="center" o:hrstd="t" o:hr="t"/>
        </w:pict>
      </w:r>
    </w:p>
    <w:p w14:paraId="11A9FDDC" w14:textId="77777777" w:rsidR="008D041B" w:rsidRDefault="0099442C">
      <w:pPr>
        <w:pStyle w:val="Heading2"/>
      </w:pPr>
      <w:bookmarkStart w:id="27" w:name="c.1-experiment-overview"/>
      <w:r>
        <w:t>C.1 Experiment Overview</w:t>
      </w:r>
    </w:p>
    <w:tbl>
      <w:tblPr>
        <w:tblW w:w="5000" w:type="pct"/>
        <w:tblLayout w:type="fixed"/>
        <w:tblLook w:val="0020" w:firstRow="1" w:lastRow="0" w:firstColumn="0" w:lastColumn="0" w:noHBand="0" w:noVBand="0"/>
      </w:tblPr>
      <w:tblGrid>
        <w:gridCol w:w="1815"/>
        <w:gridCol w:w="1815"/>
        <w:gridCol w:w="1814"/>
        <w:gridCol w:w="1814"/>
        <w:gridCol w:w="1814"/>
      </w:tblGrid>
      <w:tr w:rsidR="008D041B" w14:paraId="3D17FEE9" w14:textId="77777777">
        <w:trPr>
          <w:tblHeader/>
        </w:trPr>
        <w:tc>
          <w:tcPr>
            <w:tcW w:w="1584" w:type="dxa"/>
          </w:tcPr>
          <w:p w14:paraId="417CA33C" w14:textId="77777777" w:rsidR="008D041B" w:rsidRDefault="0099442C">
            <w:r>
              <w:t>MIFlowCyt item</w:t>
            </w:r>
          </w:p>
        </w:tc>
        <w:tc>
          <w:tcPr>
            <w:tcW w:w="1584" w:type="dxa"/>
          </w:tcPr>
          <w:p w14:paraId="658F051E" w14:textId="77777777" w:rsidR="008D041B" w:rsidRDefault="0099442C">
            <w:r>
              <w:t>In v11 workspace?</w:t>
            </w:r>
          </w:p>
        </w:tc>
        <w:tc>
          <w:tcPr>
            <w:tcW w:w="1584" w:type="dxa"/>
          </w:tcPr>
          <w:p w14:paraId="3AC44550" w14:textId="77777777" w:rsidR="008D041B" w:rsidRDefault="0099442C">
            <w:r>
              <w:t>Imported to R?</w:t>
            </w:r>
          </w:p>
        </w:tc>
        <w:tc>
          <w:tcPr>
            <w:tcW w:w="1584" w:type="dxa"/>
          </w:tcPr>
          <w:p w14:paraId="16A3D9BE" w14:textId="77777777" w:rsidR="008D041B" w:rsidRDefault="0099442C">
            <w:r>
              <w:t>Exported to v10?</w:t>
            </w:r>
          </w:p>
        </w:tc>
        <w:tc>
          <w:tcPr>
            <w:tcW w:w="1584" w:type="dxa"/>
          </w:tcPr>
          <w:p w14:paraId="26E51309" w14:textId="77777777" w:rsidR="008D041B" w:rsidRDefault="0099442C">
            <w:r>
              <w:t>Notes</w:t>
            </w:r>
          </w:p>
        </w:tc>
      </w:tr>
      <w:tr w:rsidR="008D041B" w:rsidRPr="00431A34" w14:paraId="1283DCEA" w14:textId="77777777">
        <w:tc>
          <w:tcPr>
            <w:tcW w:w="1584" w:type="dxa"/>
          </w:tcPr>
          <w:p w14:paraId="5C9B04CA" w14:textId="77777777" w:rsidR="008D041B" w:rsidRDefault="0099442C">
            <w:r>
              <w:t>Purpose / hypothesis</w:t>
            </w:r>
          </w:p>
        </w:tc>
        <w:tc>
          <w:tcPr>
            <w:tcW w:w="1584" w:type="dxa"/>
          </w:tcPr>
          <w:p w14:paraId="4213928C" w14:textId="77777777" w:rsidR="008D041B" w:rsidRDefault="0099442C">
            <w:r>
              <w:t>✗</w:t>
            </w:r>
          </w:p>
        </w:tc>
        <w:tc>
          <w:tcPr>
            <w:tcW w:w="1584" w:type="dxa"/>
          </w:tcPr>
          <w:p w14:paraId="03E9E48C" w14:textId="77777777" w:rsidR="008D041B" w:rsidRDefault="0099442C">
            <w:r>
              <w:t>✗</w:t>
            </w:r>
          </w:p>
        </w:tc>
        <w:tc>
          <w:tcPr>
            <w:tcW w:w="1584" w:type="dxa"/>
          </w:tcPr>
          <w:p w14:paraId="3EF1809D" w14:textId="77777777" w:rsidR="008D041B" w:rsidRDefault="0099442C">
            <w:r>
              <w:t>✗</w:t>
            </w:r>
          </w:p>
        </w:tc>
        <w:tc>
          <w:tcPr>
            <w:tcW w:w="1584" w:type="dxa"/>
          </w:tcPr>
          <w:p w14:paraId="51DFD1E3" w14:textId="77777777" w:rsidR="008D041B" w:rsidRPr="00977AB2" w:rsidRDefault="0099442C">
            <w:pPr>
              <w:rPr>
                <w:lang w:val="en-US"/>
              </w:rPr>
            </w:pPr>
            <w:r w:rsidRPr="00977AB2">
              <w:rPr>
                <w:lang w:val="en-US"/>
              </w:rPr>
              <w:t>Not stored in FlowJo workspaces or FCS files</w:t>
            </w:r>
          </w:p>
        </w:tc>
      </w:tr>
      <w:tr w:rsidR="008D041B" w14:paraId="5373A729" w14:textId="77777777">
        <w:tc>
          <w:tcPr>
            <w:tcW w:w="1584" w:type="dxa"/>
          </w:tcPr>
          <w:p w14:paraId="67BEC29D" w14:textId="77777777" w:rsidR="008D041B" w:rsidRDefault="0099442C">
            <w:r>
              <w:t>Keywords / domain terms</w:t>
            </w:r>
          </w:p>
        </w:tc>
        <w:tc>
          <w:tcPr>
            <w:tcW w:w="1584" w:type="dxa"/>
          </w:tcPr>
          <w:p w14:paraId="1C3CF76D" w14:textId="77777777" w:rsidR="008D041B" w:rsidRDefault="0099442C">
            <w:r>
              <w:t>✗</w:t>
            </w:r>
          </w:p>
        </w:tc>
        <w:tc>
          <w:tcPr>
            <w:tcW w:w="1584" w:type="dxa"/>
          </w:tcPr>
          <w:p w14:paraId="69ECC3C5" w14:textId="77777777" w:rsidR="008D041B" w:rsidRDefault="0099442C">
            <w:r>
              <w:t>✗</w:t>
            </w:r>
          </w:p>
        </w:tc>
        <w:tc>
          <w:tcPr>
            <w:tcW w:w="1584" w:type="dxa"/>
          </w:tcPr>
          <w:p w14:paraId="3B1F5F18" w14:textId="77777777" w:rsidR="008D041B" w:rsidRDefault="0099442C">
            <w:r>
              <w:t>✗</w:t>
            </w:r>
          </w:p>
        </w:tc>
        <w:tc>
          <w:tcPr>
            <w:tcW w:w="1584" w:type="dxa"/>
          </w:tcPr>
          <w:p w14:paraId="3D8FDF3B" w14:textId="77777777" w:rsidR="008D041B" w:rsidRDefault="0099442C">
            <w:r>
              <w:t>Not stored in workspace</w:t>
            </w:r>
          </w:p>
        </w:tc>
      </w:tr>
      <w:tr w:rsidR="008D041B" w14:paraId="21C7280E" w14:textId="77777777">
        <w:tc>
          <w:tcPr>
            <w:tcW w:w="1584" w:type="dxa"/>
          </w:tcPr>
          <w:p w14:paraId="16E0A9BD" w14:textId="77777777" w:rsidR="008D041B" w:rsidRDefault="0099442C">
            <w:r>
              <w:t>Number of experiments</w:t>
            </w:r>
          </w:p>
        </w:tc>
        <w:tc>
          <w:tcPr>
            <w:tcW w:w="1584" w:type="dxa"/>
          </w:tcPr>
          <w:p w14:paraId="43DC62F8" w14:textId="77777777" w:rsidR="008D041B" w:rsidRDefault="0099442C">
            <w:r>
              <w:t>N/A</w:t>
            </w:r>
          </w:p>
        </w:tc>
        <w:tc>
          <w:tcPr>
            <w:tcW w:w="1584" w:type="dxa"/>
          </w:tcPr>
          <w:p w14:paraId="78CD9D7B" w14:textId="77777777" w:rsidR="008D041B" w:rsidRDefault="0099442C">
            <w:r>
              <w:t>N/A</w:t>
            </w:r>
          </w:p>
        </w:tc>
        <w:tc>
          <w:tcPr>
            <w:tcW w:w="1584" w:type="dxa"/>
          </w:tcPr>
          <w:p w14:paraId="031F6C47" w14:textId="77777777" w:rsidR="008D041B" w:rsidRDefault="0099442C">
            <w:r>
              <w:t>N/A</w:t>
            </w:r>
          </w:p>
        </w:tc>
        <w:tc>
          <w:tcPr>
            <w:tcW w:w="1584" w:type="dxa"/>
          </w:tcPr>
          <w:p w14:paraId="6789852E" w14:textId="77777777" w:rsidR="008D041B" w:rsidRDefault="0099442C">
            <w:r>
              <w:t>Single-workspace tool</w:t>
            </w:r>
          </w:p>
        </w:tc>
      </w:tr>
    </w:tbl>
    <w:p w14:paraId="7058729B" w14:textId="77777777" w:rsidR="008D041B" w:rsidRDefault="00F065AE">
      <w:r>
        <w:rPr>
          <w:noProof/>
        </w:rPr>
        <w:pict w14:anchorId="06A95B56">
          <v:rect id="_x0000_i1030" alt="" style="width:451.3pt;height:.05pt;mso-width-percent:0;mso-height-percent:0;mso-width-percent:0;mso-height-percent:0" o:hralign="center" o:hrstd="t" o:hr="t"/>
        </w:pict>
      </w:r>
    </w:p>
    <w:p w14:paraId="0C319621" w14:textId="77777777" w:rsidR="008D041B" w:rsidRPr="00977AB2" w:rsidRDefault="0099442C">
      <w:pPr>
        <w:pStyle w:val="Heading2"/>
        <w:rPr>
          <w:lang w:val="en-US"/>
        </w:rPr>
      </w:pPr>
      <w:bookmarkStart w:id="28" w:name="c.2-primary-specimen-and-flow-sample"/>
      <w:bookmarkEnd w:id="27"/>
      <w:r w:rsidRPr="00977AB2">
        <w:rPr>
          <w:lang w:val="en-US"/>
        </w:rPr>
        <w:t>C.2 Primary Specimen and Flow Sample</w:t>
      </w:r>
    </w:p>
    <w:p w14:paraId="6559202A" w14:textId="77777777" w:rsidR="008D041B" w:rsidRPr="00977AB2" w:rsidRDefault="0099442C">
      <w:pPr>
        <w:rPr>
          <w:lang w:val="en-US"/>
        </w:rPr>
      </w:pPr>
      <w:r w:rsidRPr="00977AB2">
        <w:rPr>
          <w:lang w:val="en-US"/>
        </w:rPr>
        <w:t>These fields are stored in FCS keyword fields when present; availability depends on the instrument and acquisition software used to generate the FCS files.</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1000168E" w14:textId="77777777">
        <w:trPr>
          <w:tblHeader/>
        </w:trPr>
        <w:tc>
          <w:tcPr>
            <w:tcW w:w="1320" w:type="dxa"/>
          </w:tcPr>
          <w:p w14:paraId="2733E398" w14:textId="77777777" w:rsidR="008D041B" w:rsidRDefault="0099442C">
            <w:r>
              <w:t>MIFlowCyt item</w:t>
            </w:r>
          </w:p>
        </w:tc>
        <w:tc>
          <w:tcPr>
            <w:tcW w:w="1320" w:type="dxa"/>
          </w:tcPr>
          <w:p w14:paraId="0CAF0D1F" w14:textId="77777777" w:rsidR="008D041B" w:rsidRDefault="0099442C">
            <w:r>
              <w:t>FCS keyword</w:t>
            </w:r>
          </w:p>
        </w:tc>
        <w:tc>
          <w:tcPr>
            <w:tcW w:w="1320" w:type="dxa"/>
          </w:tcPr>
          <w:p w14:paraId="32971C01" w14:textId="77777777" w:rsidR="008D041B" w:rsidRDefault="0099442C">
            <w:r>
              <w:t>In v11 workspace?</w:t>
            </w:r>
          </w:p>
        </w:tc>
        <w:tc>
          <w:tcPr>
            <w:tcW w:w="1320" w:type="dxa"/>
          </w:tcPr>
          <w:p w14:paraId="6A1A1F9D" w14:textId="77777777" w:rsidR="008D041B" w:rsidRDefault="0099442C">
            <w:r>
              <w:t>Imported to R?</w:t>
            </w:r>
          </w:p>
        </w:tc>
        <w:tc>
          <w:tcPr>
            <w:tcW w:w="1320" w:type="dxa"/>
          </w:tcPr>
          <w:p w14:paraId="073BAE4B" w14:textId="77777777" w:rsidR="008D041B" w:rsidRDefault="0099442C">
            <w:r>
              <w:t>Exported to v10?</w:t>
            </w:r>
          </w:p>
        </w:tc>
        <w:tc>
          <w:tcPr>
            <w:tcW w:w="1320" w:type="dxa"/>
          </w:tcPr>
          <w:p w14:paraId="179A2813" w14:textId="77777777" w:rsidR="008D041B" w:rsidRDefault="0099442C">
            <w:r>
              <w:t>Notes</w:t>
            </w:r>
          </w:p>
        </w:tc>
      </w:tr>
      <w:tr w:rsidR="008D041B" w:rsidRPr="00431A34" w14:paraId="6A825F21" w14:textId="77777777">
        <w:tc>
          <w:tcPr>
            <w:tcW w:w="1320" w:type="dxa"/>
          </w:tcPr>
          <w:p w14:paraId="6E6DFB28" w14:textId="77777777" w:rsidR="008D041B" w:rsidRDefault="0099442C">
            <w:r>
              <w:t>Organism / cell type</w:t>
            </w:r>
          </w:p>
        </w:tc>
        <w:tc>
          <w:tcPr>
            <w:tcW w:w="1320" w:type="dxa"/>
          </w:tcPr>
          <w:p w14:paraId="0C4928DE" w14:textId="77777777" w:rsidR="008D041B" w:rsidRDefault="0099442C">
            <w:r>
              <w:t>$CELLS, $SRC</w:t>
            </w:r>
          </w:p>
        </w:tc>
        <w:tc>
          <w:tcPr>
            <w:tcW w:w="1320" w:type="dxa"/>
          </w:tcPr>
          <w:p w14:paraId="6DB17F5F" w14:textId="77777777" w:rsidR="008D041B" w:rsidRDefault="0099442C">
            <w:r>
              <w:t>~</w:t>
            </w:r>
          </w:p>
        </w:tc>
        <w:tc>
          <w:tcPr>
            <w:tcW w:w="1320" w:type="dxa"/>
          </w:tcPr>
          <w:p w14:paraId="4D705E97" w14:textId="77777777" w:rsidR="008D041B" w:rsidRDefault="0099442C">
            <w:r>
              <w:t>~</w:t>
            </w:r>
          </w:p>
        </w:tc>
        <w:tc>
          <w:tcPr>
            <w:tcW w:w="1320" w:type="dxa"/>
          </w:tcPr>
          <w:p w14:paraId="6AE9A317" w14:textId="77777777" w:rsidR="008D041B" w:rsidRDefault="0099442C">
            <w:r>
              <w:t>~</w:t>
            </w:r>
          </w:p>
        </w:tc>
        <w:tc>
          <w:tcPr>
            <w:tcW w:w="1320" w:type="dxa"/>
          </w:tcPr>
          <w:p w14:paraId="20229A33" w14:textId="77777777" w:rsidR="008D041B" w:rsidRPr="00977AB2" w:rsidRDefault="0099442C">
            <w:pPr>
              <w:rPr>
                <w:lang w:val="en-US"/>
              </w:rPr>
            </w:pPr>
            <w:r w:rsidRPr="00977AB2">
              <w:rPr>
                <w:lang w:val="en-US"/>
              </w:rPr>
              <w:t>Available if present in FCS keywords; extracted via keywords parameter</w:t>
            </w:r>
          </w:p>
        </w:tc>
      </w:tr>
      <w:tr w:rsidR="008D041B" w14:paraId="243B0AE1" w14:textId="77777777">
        <w:tc>
          <w:tcPr>
            <w:tcW w:w="1320" w:type="dxa"/>
          </w:tcPr>
          <w:p w14:paraId="26887591" w14:textId="77777777" w:rsidR="008D041B" w:rsidRDefault="0099442C">
            <w:r>
              <w:t>Sample source / tissue</w:t>
            </w:r>
          </w:p>
        </w:tc>
        <w:tc>
          <w:tcPr>
            <w:tcW w:w="1320" w:type="dxa"/>
          </w:tcPr>
          <w:p w14:paraId="5C1309D3" w14:textId="77777777" w:rsidR="008D041B" w:rsidRDefault="0099442C">
            <w:r>
              <w:t>$SRC</w:t>
            </w:r>
          </w:p>
        </w:tc>
        <w:tc>
          <w:tcPr>
            <w:tcW w:w="1320" w:type="dxa"/>
          </w:tcPr>
          <w:p w14:paraId="616CCECC" w14:textId="77777777" w:rsidR="008D041B" w:rsidRDefault="0099442C">
            <w:r>
              <w:t>~</w:t>
            </w:r>
          </w:p>
        </w:tc>
        <w:tc>
          <w:tcPr>
            <w:tcW w:w="1320" w:type="dxa"/>
          </w:tcPr>
          <w:p w14:paraId="26465E93" w14:textId="77777777" w:rsidR="008D041B" w:rsidRDefault="0099442C">
            <w:r>
              <w:t>~</w:t>
            </w:r>
          </w:p>
        </w:tc>
        <w:tc>
          <w:tcPr>
            <w:tcW w:w="1320" w:type="dxa"/>
          </w:tcPr>
          <w:p w14:paraId="74A6E78B" w14:textId="77777777" w:rsidR="008D041B" w:rsidRDefault="0099442C">
            <w:r>
              <w:t>~</w:t>
            </w:r>
          </w:p>
        </w:tc>
        <w:tc>
          <w:tcPr>
            <w:tcW w:w="1320" w:type="dxa"/>
          </w:tcPr>
          <w:p w14:paraId="420DBDE6" w14:textId="77777777" w:rsidR="008D041B" w:rsidRDefault="0099442C">
            <w:r>
              <w:t>As above</w:t>
            </w:r>
          </w:p>
        </w:tc>
      </w:tr>
      <w:tr w:rsidR="008D041B" w:rsidRPr="00431A34" w14:paraId="67047DC6" w14:textId="77777777">
        <w:tc>
          <w:tcPr>
            <w:tcW w:w="1320" w:type="dxa"/>
          </w:tcPr>
          <w:p w14:paraId="081D29EA" w14:textId="77777777" w:rsidR="008D041B" w:rsidRDefault="0099442C">
            <w:r>
              <w:t>Sample preparation description</w:t>
            </w:r>
          </w:p>
        </w:tc>
        <w:tc>
          <w:tcPr>
            <w:tcW w:w="1320" w:type="dxa"/>
          </w:tcPr>
          <w:p w14:paraId="61DDB71E" w14:textId="77777777" w:rsidR="008D041B" w:rsidRDefault="0099442C">
            <w:r>
              <w:t>—</w:t>
            </w:r>
          </w:p>
        </w:tc>
        <w:tc>
          <w:tcPr>
            <w:tcW w:w="1320" w:type="dxa"/>
          </w:tcPr>
          <w:p w14:paraId="11C6F42F" w14:textId="77777777" w:rsidR="008D041B" w:rsidRDefault="0099442C">
            <w:r>
              <w:t>✗</w:t>
            </w:r>
          </w:p>
        </w:tc>
        <w:tc>
          <w:tcPr>
            <w:tcW w:w="1320" w:type="dxa"/>
          </w:tcPr>
          <w:p w14:paraId="18927356" w14:textId="77777777" w:rsidR="008D041B" w:rsidRDefault="0099442C">
            <w:r>
              <w:t>✗</w:t>
            </w:r>
          </w:p>
        </w:tc>
        <w:tc>
          <w:tcPr>
            <w:tcW w:w="1320" w:type="dxa"/>
          </w:tcPr>
          <w:p w14:paraId="455F6FED" w14:textId="77777777" w:rsidR="008D041B" w:rsidRDefault="0099442C">
            <w:r>
              <w:t>✗</w:t>
            </w:r>
          </w:p>
        </w:tc>
        <w:tc>
          <w:tcPr>
            <w:tcW w:w="1320" w:type="dxa"/>
          </w:tcPr>
          <w:p w14:paraId="7955AE16" w14:textId="77777777" w:rsidR="008D041B" w:rsidRPr="00977AB2" w:rsidRDefault="0099442C">
            <w:pPr>
              <w:rPr>
                <w:lang w:val="en-US"/>
              </w:rPr>
            </w:pPr>
            <w:r w:rsidRPr="00977AB2">
              <w:rPr>
                <w:lang w:val="en-US"/>
              </w:rPr>
              <w:t>Not stored in FCS standard</w:t>
            </w:r>
          </w:p>
        </w:tc>
      </w:tr>
      <w:tr w:rsidR="008D041B" w:rsidRPr="00431A34" w14:paraId="7FDF6F0A" w14:textId="77777777">
        <w:tc>
          <w:tcPr>
            <w:tcW w:w="1320" w:type="dxa"/>
          </w:tcPr>
          <w:p w14:paraId="3259F178" w14:textId="77777777" w:rsidR="008D041B" w:rsidRDefault="0099442C">
            <w:r>
              <w:t>Collection date and time</w:t>
            </w:r>
          </w:p>
        </w:tc>
        <w:tc>
          <w:tcPr>
            <w:tcW w:w="1320" w:type="dxa"/>
          </w:tcPr>
          <w:p w14:paraId="3F914895" w14:textId="77777777" w:rsidR="008D041B" w:rsidRDefault="0099442C">
            <w:r>
              <w:t>$DATE, $BTIM, $ETIM</w:t>
            </w:r>
          </w:p>
        </w:tc>
        <w:tc>
          <w:tcPr>
            <w:tcW w:w="1320" w:type="dxa"/>
          </w:tcPr>
          <w:p w14:paraId="439A5A9D" w14:textId="77777777" w:rsidR="008D041B" w:rsidRDefault="0099442C">
            <w:r>
              <w:t>✓</w:t>
            </w:r>
          </w:p>
        </w:tc>
        <w:tc>
          <w:tcPr>
            <w:tcW w:w="1320" w:type="dxa"/>
          </w:tcPr>
          <w:p w14:paraId="139314C0" w14:textId="77777777" w:rsidR="008D041B" w:rsidRDefault="0099442C">
            <w:r>
              <w:t>~</w:t>
            </w:r>
          </w:p>
        </w:tc>
        <w:tc>
          <w:tcPr>
            <w:tcW w:w="1320" w:type="dxa"/>
          </w:tcPr>
          <w:p w14:paraId="0C8FC9D1" w14:textId="77777777" w:rsidR="008D041B" w:rsidRDefault="0099442C">
            <w:r>
              <w:t>✓</w:t>
            </w:r>
          </w:p>
        </w:tc>
        <w:tc>
          <w:tcPr>
            <w:tcW w:w="1320" w:type="dxa"/>
          </w:tcPr>
          <w:p w14:paraId="033E1605" w14:textId="77777777" w:rsidR="008D041B" w:rsidRPr="00977AB2" w:rsidRDefault="0099442C">
            <w:pPr>
              <w:rPr>
                <w:lang w:val="en-US"/>
              </w:rPr>
            </w:pPr>
            <w:r w:rsidRPr="00977AB2">
              <w:rPr>
                <w:lang w:val="en-US"/>
              </w:rPr>
              <w:t xml:space="preserve">In FCS keywords; written to v10 &lt;Keywords&gt; section; </w:t>
            </w:r>
          </w:p>
        </w:tc>
      </w:tr>
      <w:tr w:rsidR="008D041B" w14:paraId="2066BD21" w14:textId="77777777">
        <w:tc>
          <w:tcPr>
            <w:tcW w:w="1320" w:type="dxa"/>
          </w:tcPr>
          <w:p w14:paraId="39B3DFCD" w14:textId="77777777" w:rsidR="008D041B" w:rsidRDefault="0099442C">
            <w:r>
              <w:t>Operator</w:t>
            </w:r>
          </w:p>
        </w:tc>
        <w:tc>
          <w:tcPr>
            <w:tcW w:w="1320" w:type="dxa"/>
          </w:tcPr>
          <w:p w14:paraId="449D8DF8" w14:textId="77777777" w:rsidR="008D041B" w:rsidRDefault="0099442C">
            <w:r>
              <w:t>$OP</w:t>
            </w:r>
          </w:p>
        </w:tc>
        <w:tc>
          <w:tcPr>
            <w:tcW w:w="1320" w:type="dxa"/>
          </w:tcPr>
          <w:p w14:paraId="6B5C3C68" w14:textId="77777777" w:rsidR="008D041B" w:rsidRDefault="0099442C">
            <w:r>
              <w:t>✓</w:t>
            </w:r>
          </w:p>
        </w:tc>
        <w:tc>
          <w:tcPr>
            <w:tcW w:w="1320" w:type="dxa"/>
          </w:tcPr>
          <w:p w14:paraId="4C864F67" w14:textId="77777777" w:rsidR="008D041B" w:rsidRDefault="0099442C">
            <w:r>
              <w:t>~</w:t>
            </w:r>
          </w:p>
        </w:tc>
        <w:tc>
          <w:tcPr>
            <w:tcW w:w="1320" w:type="dxa"/>
          </w:tcPr>
          <w:p w14:paraId="57A0F25E" w14:textId="77777777" w:rsidR="008D041B" w:rsidRDefault="0099442C">
            <w:r>
              <w:t>✓</w:t>
            </w:r>
          </w:p>
        </w:tc>
        <w:tc>
          <w:tcPr>
            <w:tcW w:w="1320" w:type="dxa"/>
          </w:tcPr>
          <w:p w14:paraId="547ED2B8" w14:textId="77777777" w:rsidR="008D041B" w:rsidRDefault="0099442C">
            <w:r>
              <w:t>As above</w:t>
            </w:r>
          </w:p>
        </w:tc>
      </w:tr>
      <w:tr w:rsidR="008D041B" w:rsidRPr="00431A34" w14:paraId="4A814226" w14:textId="77777777">
        <w:tc>
          <w:tcPr>
            <w:tcW w:w="1320" w:type="dxa"/>
          </w:tcPr>
          <w:p w14:paraId="20725E20" w14:textId="77777777" w:rsidR="008D041B" w:rsidRDefault="0099442C">
            <w:r>
              <w:t>Institution</w:t>
            </w:r>
          </w:p>
        </w:tc>
        <w:tc>
          <w:tcPr>
            <w:tcW w:w="1320" w:type="dxa"/>
          </w:tcPr>
          <w:p w14:paraId="5E91C1DF" w14:textId="77777777" w:rsidR="008D041B" w:rsidRDefault="0099442C">
            <w:r>
              <w:t>$INST</w:t>
            </w:r>
          </w:p>
        </w:tc>
        <w:tc>
          <w:tcPr>
            <w:tcW w:w="1320" w:type="dxa"/>
          </w:tcPr>
          <w:p w14:paraId="18C77675" w14:textId="77777777" w:rsidR="008D041B" w:rsidRDefault="0099442C">
            <w:r>
              <w:t>~</w:t>
            </w:r>
          </w:p>
        </w:tc>
        <w:tc>
          <w:tcPr>
            <w:tcW w:w="1320" w:type="dxa"/>
          </w:tcPr>
          <w:p w14:paraId="3718364E" w14:textId="77777777" w:rsidR="008D041B" w:rsidRDefault="0099442C">
            <w:r>
              <w:t>~</w:t>
            </w:r>
          </w:p>
        </w:tc>
        <w:tc>
          <w:tcPr>
            <w:tcW w:w="1320" w:type="dxa"/>
          </w:tcPr>
          <w:p w14:paraId="36E812F9" w14:textId="77777777" w:rsidR="008D041B" w:rsidRDefault="0099442C">
            <w:r>
              <w:t>~</w:t>
            </w:r>
          </w:p>
        </w:tc>
        <w:tc>
          <w:tcPr>
            <w:tcW w:w="1320" w:type="dxa"/>
          </w:tcPr>
          <w:p w14:paraId="002C9C9F" w14:textId="77777777" w:rsidR="008D041B" w:rsidRPr="00977AB2" w:rsidRDefault="0099442C">
            <w:pPr>
              <w:rPr>
                <w:lang w:val="en-US"/>
              </w:rPr>
            </w:pPr>
            <w:r w:rsidRPr="00977AB2">
              <w:rPr>
                <w:lang w:val="en-US"/>
              </w:rPr>
              <w:t xml:space="preserve">Present if recorded by </w:t>
            </w:r>
            <w:r w:rsidRPr="00977AB2">
              <w:rPr>
                <w:lang w:val="en-US"/>
              </w:rPr>
              <w:lastRenderedPageBreak/>
              <w:t>acquisition software</w:t>
            </w:r>
          </w:p>
        </w:tc>
      </w:tr>
      <w:tr w:rsidR="008D041B" w14:paraId="5EBACE24" w14:textId="77777777">
        <w:tc>
          <w:tcPr>
            <w:tcW w:w="1320" w:type="dxa"/>
          </w:tcPr>
          <w:p w14:paraId="5BD38319" w14:textId="77777777" w:rsidR="008D041B" w:rsidRDefault="0099442C">
            <w:r>
              <w:lastRenderedPageBreak/>
              <w:t>Sample number / well ID</w:t>
            </w:r>
          </w:p>
        </w:tc>
        <w:tc>
          <w:tcPr>
            <w:tcW w:w="1320" w:type="dxa"/>
          </w:tcPr>
          <w:p w14:paraId="5C592F65" w14:textId="77777777" w:rsidR="008D041B" w:rsidRDefault="0099442C">
            <w:r>
              <w:t>$SMNO, $WELLID</w:t>
            </w:r>
          </w:p>
        </w:tc>
        <w:tc>
          <w:tcPr>
            <w:tcW w:w="1320" w:type="dxa"/>
          </w:tcPr>
          <w:p w14:paraId="647C234F" w14:textId="77777777" w:rsidR="008D041B" w:rsidRDefault="0099442C">
            <w:r>
              <w:t>~</w:t>
            </w:r>
          </w:p>
        </w:tc>
        <w:tc>
          <w:tcPr>
            <w:tcW w:w="1320" w:type="dxa"/>
          </w:tcPr>
          <w:p w14:paraId="096383F1" w14:textId="77777777" w:rsidR="008D041B" w:rsidRDefault="0099442C">
            <w:r>
              <w:t>~</w:t>
            </w:r>
          </w:p>
        </w:tc>
        <w:tc>
          <w:tcPr>
            <w:tcW w:w="1320" w:type="dxa"/>
          </w:tcPr>
          <w:p w14:paraId="49C959CA" w14:textId="77777777" w:rsidR="008D041B" w:rsidRDefault="0099442C">
            <w:r>
              <w:t>~</w:t>
            </w:r>
          </w:p>
        </w:tc>
        <w:tc>
          <w:tcPr>
            <w:tcW w:w="1320" w:type="dxa"/>
          </w:tcPr>
          <w:p w14:paraId="4C867EC9" w14:textId="77777777" w:rsidR="008D041B" w:rsidRDefault="0099442C">
            <w:r>
              <w:t>Present if recorded</w:t>
            </w:r>
          </w:p>
        </w:tc>
      </w:tr>
    </w:tbl>
    <w:p w14:paraId="3F833536" w14:textId="77777777" w:rsidR="008D041B" w:rsidRDefault="00F065AE">
      <w:r>
        <w:rPr>
          <w:noProof/>
        </w:rPr>
        <w:pict w14:anchorId="0689353D">
          <v:rect id="_x0000_i1029" alt="" style="width:451.3pt;height:.05pt;mso-width-percent:0;mso-height-percent:0;mso-width-percent:0;mso-height-percent:0" o:hralign="center" o:hrstd="t" o:hr="t"/>
        </w:pict>
      </w:r>
    </w:p>
    <w:p w14:paraId="279D354E" w14:textId="77777777" w:rsidR="008D041B" w:rsidRDefault="0099442C">
      <w:pPr>
        <w:pStyle w:val="Heading2"/>
      </w:pPr>
      <w:bookmarkStart w:id="29" w:name="c.3-reagents-and-staining"/>
      <w:bookmarkEnd w:id="28"/>
      <w:r>
        <w:t>C.3 Reagents and Staining</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268180F9" w14:textId="77777777">
        <w:trPr>
          <w:tblHeader/>
        </w:trPr>
        <w:tc>
          <w:tcPr>
            <w:tcW w:w="1320" w:type="dxa"/>
          </w:tcPr>
          <w:p w14:paraId="5512BF43" w14:textId="77777777" w:rsidR="008D041B" w:rsidRDefault="0099442C">
            <w:r>
              <w:t>MIFlowCyt item</w:t>
            </w:r>
          </w:p>
        </w:tc>
        <w:tc>
          <w:tcPr>
            <w:tcW w:w="1320" w:type="dxa"/>
          </w:tcPr>
          <w:p w14:paraId="4B404395" w14:textId="77777777" w:rsidR="008D041B" w:rsidRDefault="0099442C">
            <w:r>
              <w:t>FCS keyword</w:t>
            </w:r>
          </w:p>
        </w:tc>
        <w:tc>
          <w:tcPr>
            <w:tcW w:w="1320" w:type="dxa"/>
          </w:tcPr>
          <w:p w14:paraId="7B6D8796" w14:textId="77777777" w:rsidR="008D041B" w:rsidRDefault="0099442C">
            <w:r>
              <w:t>In v11 workspace?</w:t>
            </w:r>
          </w:p>
        </w:tc>
        <w:tc>
          <w:tcPr>
            <w:tcW w:w="1320" w:type="dxa"/>
          </w:tcPr>
          <w:p w14:paraId="33F78B3E" w14:textId="77777777" w:rsidR="008D041B" w:rsidRDefault="0099442C">
            <w:r>
              <w:t>Imported to R?</w:t>
            </w:r>
          </w:p>
        </w:tc>
        <w:tc>
          <w:tcPr>
            <w:tcW w:w="1320" w:type="dxa"/>
          </w:tcPr>
          <w:p w14:paraId="3AA585D7" w14:textId="77777777" w:rsidR="008D041B" w:rsidRDefault="0099442C">
            <w:r>
              <w:t>Exported to v10?</w:t>
            </w:r>
          </w:p>
        </w:tc>
        <w:tc>
          <w:tcPr>
            <w:tcW w:w="1320" w:type="dxa"/>
          </w:tcPr>
          <w:p w14:paraId="7B0C6B68" w14:textId="77777777" w:rsidR="008D041B" w:rsidRDefault="0099442C">
            <w:r>
              <w:t>Notes</w:t>
            </w:r>
          </w:p>
        </w:tc>
      </w:tr>
      <w:tr w:rsidR="008D041B" w:rsidRPr="00431A34" w14:paraId="34895DEE" w14:textId="77777777">
        <w:tc>
          <w:tcPr>
            <w:tcW w:w="1320" w:type="dxa"/>
          </w:tcPr>
          <w:p w14:paraId="513DA49A" w14:textId="77777777" w:rsidR="008D041B" w:rsidRDefault="0099442C">
            <w:r>
              <w:t>Fluorochrome names</w:t>
            </w:r>
          </w:p>
        </w:tc>
        <w:tc>
          <w:tcPr>
            <w:tcW w:w="1320" w:type="dxa"/>
          </w:tcPr>
          <w:p w14:paraId="44E0811C" w14:textId="77777777" w:rsidR="008D041B" w:rsidRDefault="0099442C">
            <w:r>
              <w:t>$PnS</w:t>
            </w:r>
          </w:p>
        </w:tc>
        <w:tc>
          <w:tcPr>
            <w:tcW w:w="1320" w:type="dxa"/>
          </w:tcPr>
          <w:p w14:paraId="73C5EEDA" w14:textId="77777777" w:rsidR="008D041B" w:rsidRDefault="0099442C">
            <w:r>
              <w:t>✓</w:t>
            </w:r>
          </w:p>
        </w:tc>
        <w:tc>
          <w:tcPr>
            <w:tcW w:w="1320" w:type="dxa"/>
          </w:tcPr>
          <w:p w14:paraId="0B691FAE" w14:textId="77777777" w:rsidR="008D041B" w:rsidRDefault="0099442C">
            <w:r>
              <w:t>✓</w:t>
            </w:r>
          </w:p>
        </w:tc>
        <w:tc>
          <w:tcPr>
            <w:tcW w:w="1320" w:type="dxa"/>
          </w:tcPr>
          <w:p w14:paraId="5AF0FAB3" w14:textId="77777777" w:rsidR="008D041B" w:rsidRDefault="0099442C">
            <w:r>
              <w:t>✓</w:t>
            </w:r>
          </w:p>
        </w:tc>
        <w:tc>
          <w:tcPr>
            <w:tcW w:w="1320" w:type="dxa"/>
          </w:tcPr>
          <w:p w14:paraId="69CE9079" w14:textId="77777777" w:rsidR="008D041B" w:rsidRPr="00977AB2" w:rsidRDefault="0099442C">
            <w:pPr>
              <w:rPr>
                <w:lang w:val="en-US"/>
              </w:rPr>
            </w:pPr>
            <w:r w:rsidRPr="00977AB2">
              <w:rPr>
                <w:lang w:val="en-US"/>
              </w:rPr>
              <w:t>Channel stain descriptions; in parameter keywords</w:t>
            </w:r>
          </w:p>
        </w:tc>
      </w:tr>
      <w:tr w:rsidR="008D041B" w:rsidRPr="00431A34" w14:paraId="0E68D089" w14:textId="77777777">
        <w:tc>
          <w:tcPr>
            <w:tcW w:w="1320" w:type="dxa"/>
          </w:tcPr>
          <w:p w14:paraId="14E5437D" w14:textId="77777777" w:rsidR="008D041B" w:rsidRDefault="0099442C">
            <w:r>
              <w:t>Channel names (detector)</w:t>
            </w:r>
          </w:p>
        </w:tc>
        <w:tc>
          <w:tcPr>
            <w:tcW w:w="1320" w:type="dxa"/>
          </w:tcPr>
          <w:p w14:paraId="3A5AC596" w14:textId="77777777" w:rsidR="008D041B" w:rsidRDefault="0099442C">
            <w:r>
              <w:t>$PnN</w:t>
            </w:r>
          </w:p>
        </w:tc>
        <w:tc>
          <w:tcPr>
            <w:tcW w:w="1320" w:type="dxa"/>
          </w:tcPr>
          <w:p w14:paraId="475AE7A7" w14:textId="77777777" w:rsidR="008D041B" w:rsidRDefault="0099442C">
            <w:r>
              <w:t>✓</w:t>
            </w:r>
          </w:p>
        </w:tc>
        <w:tc>
          <w:tcPr>
            <w:tcW w:w="1320" w:type="dxa"/>
          </w:tcPr>
          <w:p w14:paraId="0575DB8C" w14:textId="77777777" w:rsidR="008D041B" w:rsidRDefault="0099442C">
            <w:r>
              <w:t>✓</w:t>
            </w:r>
          </w:p>
        </w:tc>
        <w:tc>
          <w:tcPr>
            <w:tcW w:w="1320" w:type="dxa"/>
          </w:tcPr>
          <w:p w14:paraId="1574303A" w14:textId="77777777" w:rsidR="008D041B" w:rsidRDefault="0099442C">
            <w:r>
              <w:t>✓</w:t>
            </w:r>
          </w:p>
        </w:tc>
        <w:tc>
          <w:tcPr>
            <w:tcW w:w="1320" w:type="dxa"/>
          </w:tcPr>
          <w:p w14:paraId="256AD48C" w14:textId="77777777" w:rsidR="008D041B" w:rsidRPr="00977AB2" w:rsidRDefault="0099442C">
            <w:pPr>
              <w:rPr>
                <w:lang w:val="en-US"/>
              </w:rPr>
            </w:pPr>
            <w:r w:rsidRPr="00977AB2">
              <w:rPr>
                <w:lang w:val="en-US"/>
              </w:rPr>
              <w:t>Required FCS keyword; always present</w:t>
            </w:r>
          </w:p>
        </w:tc>
      </w:tr>
      <w:tr w:rsidR="008D041B" w:rsidRPr="00431A34" w14:paraId="723F7057" w14:textId="77777777">
        <w:tc>
          <w:tcPr>
            <w:tcW w:w="1320" w:type="dxa"/>
          </w:tcPr>
          <w:p w14:paraId="6614CACB" w14:textId="77777777" w:rsidR="008D041B" w:rsidRDefault="0099442C">
            <w:r>
              <w:t>Antibody clone / catalog</w:t>
            </w:r>
          </w:p>
        </w:tc>
        <w:tc>
          <w:tcPr>
            <w:tcW w:w="1320" w:type="dxa"/>
          </w:tcPr>
          <w:p w14:paraId="46B4C256" w14:textId="77777777" w:rsidR="008D041B" w:rsidRDefault="0099442C">
            <w:r>
              <w:t>—</w:t>
            </w:r>
          </w:p>
        </w:tc>
        <w:tc>
          <w:tcPr>
            <w:tcW w:w="1320" w:type="dxa"/>
          </w:tcPr>
          <w:p w14:paraId="1F9028FF" w14:textId="77777777" w:rsidR="008D041B" w:rsidRDefault="0099442C">
            <w:r>
              <w:t>✗</w:t>
            </w:r>
          </w:p>
        </w:tc>
        <w:tc>
          <w:tcPr>
            <w:tcW w:w="1320" w:type="dxa"/>
          </w:tcPr>
          <w:p w14:paraId="78818A9C" w14:textId="77777777" w:rsidR="008D041B" w:rsidRDefault="0099442C">
            <w:r>
              <w:t>✗</w:t>
            </w:r>
          </w:p>
        </w:tc>
        <w:tc>
          <w:tcPr>
            <w:tcW w:w="1320" w:type="dxa"/>
          </w:tcPr>
          <w:p w14:paraId="1CAF89EC" w14:textId="77777777" w:rsidR="008D041B" w:rsidRDefault="0099442C">
            <w:r>
              <w:t>✗</w:t>
            </w:r>
          </w:p>
        </w:tc>
        <w:tc>
          <w:tcPr>
            <w:tcW w:w="1320" w:type="dxa"/>
          </w:tcPr>
          <w:p w14:paraId="154AD0F8" w14:textId="77777777" w:rsidR="008D041B" w:rsidRPr="00977AB2" w:rsidRDefault="0099442C">
            <w:pPr>
              <w:rPr>
                <w:lang w:val="en-US"/>
              </w:rPr>
            </w:pPr>
            <w:r w:rsidRPr="00977AB2">
              <w:rPr>
                <w:lang w:val="en-US"/>
              </w:rPr>
              <w:t>Not a standard FCS field</w:t>
            </w:r>
          </w:p>
        </w:tc>
      </w:tr>
      <w:tr w:rsidR="008D041B" w:rsidRPr="00431A34" w14:paraId="189E7972" w14:textId="77777777">
        <w:tc>
          <w:tcPr>
            <w:tcW w:w="1320" w:type="dxa"/>
          </w:tcPr>
          <w:p w14:paraId="06C5A6EE" w14:textId="77777777" w:rsidR="008D041B" w:rsidRDefault="0099442C">
            <w:r>
              <w:t>Antibody concentration</w:t>
            </w:r>
          </w:p>
        </w:tc>
        <w:tc>
          <w:tcPr>
            <w:tcW w:w="1320" w:type="dxa"/>
          </w:tcPr>
          <w:p w14:paraId="67A1AC89" w14:textId="77777777" w:rsidR="008D041B" w:rsidRDefault="0099442C">
            <w:r>
              <w:t>—</w:t>
            </w:r>
          </w:p>
        </w:tc>
        <w:tc>
          <w:tcPr>
            <w:tcW w:w="1320" w:type="dxa"/>
          </w:tcPr>
          <w:p w14:paraId="4064E6D3" w14:textId="77777777" w:rsidR="008D041B" w:rsidRDefault="0099442C">
            <w:r>
              <w:t>✗</w:t>
            </w:r>
          </w:p>
        </w:tc>
        <w:tc>
          <w:tcPr>
            <w:tcW w:w="1320" w:type="dxa"/>
          </w:tcPr>
          <w:p w14:paraId="79F80B6F" w14:textId="77777777" w:rsidR="008D041B" w:rsidRDefault="0099442C">
            <w:r>
              <w:t>✗</w:t>
            </w:r>
          </w:p>
        </w:tc>
        <w:tc>
          <w:tcPr>
            <w:tcW w:w="1320" w:type="dxa"/>
          </w:tcPr>
          <w:p w14:paraId="3BDB98E9" w14:textId="77777777" w:rsidR="008D041B" w:rsidRDefault="0099442C">
            <w:r>
              <w:t>✗</w:t>
            </w:r>
          </w:p>
        </w:tc>
        <w:tc>
          <w:tcPr>
            <w:tcW w:w="1320" w:type="dxa"/>
          </w:tcPr>
          <w:p w14:paraId="7285F896" w14:textId="77777777" w:rsidR="008D041B" w:rsidRPr="00977AB2" w:rsidRDefault="0099442C">
            <w:pPr>
              <w:rPr>
                <w:lang w:val="en-US"/>
              </w:rPr>
            </w:pPr>
            <w:r w:rsidRPr="00977AB2">
              <w:rPr>
                <w:lang w:val="en-US"/>
              </w:rPr>
              <w:t>Not a standard FCS field</w:t>
            </w:r>
          </w:p>
        </w:tc>
      </w:tr>
      <w:tr w:rsidR="008D041B" w14:paraId="5CE0D11F" w14:textId="77777777">
        <w:tc>
          <w:tcPr>
            <w:tcW w:w="1320" w:type="dxa"/>
          </w:tcPr>
          <w:p w14:paraId="12A5D3EC" w14:textId="77777777" w:rsidR="008D041B" w:rsidRDefault="0099442C">
            <w:r>
              <w:t>Viability dye</w:t>
            </w:r>
          </w:p>
        </w:tc>
        <w:tc>
          <w:tcPr>
            <w:tcW w:w="1320" w:type="dxa"/>
          </w:tcPr>
          <w:p w14:paraId="7EBFBF7A" w14:textId="77777777" w:rsidR="008D041B" w:rsidRDefault="0099442C">
            <w:r>
              <w:t>—</w:t>
            </w:r>
          </w:p>
        </w:tc>
        <w:tc>
          <w:tcPr>
            <w:tcW w:w="1320" w:type="dxa"/>
          </w:tcPr>
          <w:p w14:paraId="1D2194BF" w14:textId="77777777" w:rsidR="008D041B" w:rsidRDefault="0099442C">
            <w:r>
              <w:t>✗</w:t>
            </w:r>
          </w:p>
        </w:tc>
        <w:tc>
          <w:tcPr>
            <w:tcW w:w="1320" w:type="dxa"/>
          </w:tcPr>
          <w:p w14:paraId="2C542CBE" w14:textId="77777777" w:rsidR="008D041B" w:rsidRDefault="0099442C">
            <w:r>
              <w:t>✗</w:t>
            </w:r>
          </w:p>
        </w:tc>
        <w:tc>
          <w:tcPr>
            <w:tcW w:w="1320" w:type="dxa"/>
          </w:tcPr>
          <w:p w14:paraId="34454832" w14:textId="77777777" w:rsidR="008D041B" w:rsidRDefault="0099442C">
            <w:r>
              <w:t>✗</w:t>
            </w:r>
          </w:p>
        </w:tc>
        <w:tc>
          <w:tcPr>
            <w:tcW w:w="1320" w:type="dxa"/>
          </w:tcPr>
          <w:p w14:paraId="60EF7177" w14:textId="77777777" w:rsidR="008D041B" w:rsidRDefault="0099442C">
            <w:r>
              <w:t>Convention only; not standardized</w:t>
            </w:r>
          </w:p>
        </w:tc>
      </w:tr>
    </w:tbl>
    <w:p w14:paraId="37C38BDF" w14:textId="77777777" w:rsidR="008D041B" w:rsidRDefault="00F065AE">
      <w:r>
        <w:rPr>
          <w:noProof/>
        </w:rPr>
        <w:pict w14:anchorId="35B3348D">
          <v:rect id="_x0000_i1028" alt="" style="width:451.3pt;height:.05pt;mso-width-percent:0;mso-height-percent:0;mso-width-percent:0;mso-height-percent:0" o:hralign="center" o:hrstd="t" o:hr="t"/>
        </w:pict>
      </w:r>
    </w:p>
    <w:p w14:paraId="63D9BC48" w14:textId="77777777" w:rsidR="008D041B" w:rsidRDefault="0099442C">
      <w:pPr>
        <w:pStyle w:val="Heading2"/>
      </w:pPr>
      <w:bookmarkStart w:id="30" w:name="c.4-instrument"/>
      <w:bookmarkEnd w:id="29"/>
      <w:r>
        <w:t>C.4 Instrument</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78112AEC" w14:textId="77777777">
        <w:trPr>
          <w:tblHeader/>
        </w:trPr>
        <w:tc>
          <w:tcPr>
            <w:tcW w:w="1320" w:type="dxa"/>
          </w:tcPr>
          <w:p w14:paraId="331900EE" w14:textId="77777777" w:rsidR="008D041B" w:rsidRDefault="0099442C">
            <w:r>
              <w:t>MIFlowCyt item</w:t>
            </w:r>
          </w:p>
        </w:tc>
        <w:tc>
          <w:tcPr>
            <w:tcW w:w="1320" w:type="dxa"/>
          </w:tcPr>
          <w:p w14:paraId="61457E14" w14:textId="77777777" w:rsidR="008D041B" w:rsidRDefault="0099442C">
            <w:r>
              <w:t>FCS keyword</w:t>
            </w:r>
          </w:p>
        </w:tc>
        <w:tc>
          <w:tcPr>
            <w:tcW w:w="1320" w:type="dxa"/>
          </w:tcPr>
          <w:p w14:paraId="4202BA61" w14:textId="77777777" w:rsidR="008D041B" w:rsidRDefault="0099442C">
            <w:r>
              <w:t>In v11 workspace?</w:t>
            </w:r>
          </w:p>
        </w:tc>
        <w:tc>
          <w:tcPr>
            <w:tcW w:w="1320" w:type="dxa"/>
          </w:tcPr>
          <w:p w14:paraId="7DB4F167" w14:textId="77777777" w:rsidR="008D041B" w:rsidRDefault="0099442C">
            <w:r>
              <w:t>Imported to R?</w:t>
            </w:r>
          </w:p>
        </w:tc>
        <w:tc>
          <w:tcPr>
            <w:tcW w:w="1320" w:type="dxa"/>
          </w:tcPr>
          <w:p w14:paraId="219DF847" w14:textId="77777777" w:rsidR="008D041B" w:rsidRDefault="0099442C">
            <w:r>
              <w:t>Exported to v10?</w:t>
            </w:r>
          </w:p>
        </w:tc>
        <w:tc>
          <w:tcPr>
            <w:tcW w:w="1320" w:type="dxa"/>
          </w:tcPr>
          <w:p w14:paraId="444A7902" w14:textId="77777777" w:rsidR="008D041B" w:rsidRDefault="0099442C">
            <w:r>
              <w:t>Notes</w:t>
            </w:r>
          </w:p>
        </w:tc>
      </w:tr>
      <w:tr w:rsidR="008D041B" w:rsidRPr="00431A34" w14:paraId="604CEB71" w14:textId="77777777">
        <w:tc>
          <w:tcPr>
            <w:tcW w:w="1320" w:type="dxa"/>
          </w:tcPr>
          <w:p w14:paraId="45A8A0D6" w14:textId="77777777" w:rsidR="008D041B" w:rsidRDefault="0099442C">
            <w:r>
              <w:t>Cytometer manufacturer and model</w:t>
            </w:r>
          </w:p>
        </w:tc>
        <w:tc>
          <w:tcPr>
            <w:tcW w:w="1320" w:type="dxa"/>
          </w:tcPr>
          <w:p w14:paraId="712F0A61" w14:textId="77777777" w:rsidR="008D041B" w:rsidRDefault="0099442C">
            <w:r>
              <w:t>$CYT</w:t>
            </w:r>
          </w:p>
        </w:tc>
        <w:tc>
          <w:tcPr>
            <w:tcW w:w="1320" w:type="dxa"/>
          </w:tcPr>
          <w:p w14:paraId="34AE26DF" w14:textId="77777777" w:rsidR="008D041B" w:rsidRDefault="0099442C">
            <w:r>
              <w:t>✓</w:t>
            </w:r>
          </w:p>
        </w:tc>
        <w:tc>
          <w:tcPr>
            <w:tcW w:w="1320" w:type="dxa"/>
          </w:tcPr>
          <w:p w14:paraId="1816079D" w14:textId="77777777" w:rsidR="008D041B" w:rsidRDefault="0099442C">
            <w:r>
              <w:t>~</w:t>
            </w:r>
          </w:p>
        </w:tc>
        <w:tc>
          <w:tcPr>
            <w:tcW w:w="1320" w:type="dxa"/>
          </w:tcPr>
          <w:p w14:paraId="202EDA45" w14:textId="77777777" w:rsidR="008D041B" w:rsidRDefault="0099442C">
            <w:r>
              <w:t>✓</w:t>
            </w:r>
          </w:p>
        </w:tc>
        <w:tc>
          <w:tcPr>
            <w:tcW w:w="1320" w:type="dxa"/>
          </w:tcPr>
          <w:p w14:paraId="40784070" w14:textId="77777777" w:rsidR="008D041B" w:rsidRPr="00977AB2" w:rsidRDefault="0099442C">
            <w:pPr>
              <w:rPr>
                <w:lang w:val="en-US"/>
              </w:rPr>
            </w:pPr>
            <w:r w:rsidRPr="00977AB2">
              <w:rPr>
                <w:lang w:val="en-US"/>
              </w:rPr>
              <w:t xml:space="preserve">In FCS keywords; written to v10 XML &lt;Keywords&gt;; </w:t>
            </w:r>
          </w:p>
        </w:tc>
      </w:tr>
      <w:tr w:rsidR="008D041B" w:rsidRPr="00431A34" w14:paraId="3573FB94" w14:textId="77777777">
        <w:tc>
          <w:tcPr>
            <w:tcW w:w="1320" w:type="dxa"/>
          </w:tcPr>
          <w:p w14:paraId="01F13754" w14:textId="77777777" w:rsidR="008D041B" w:rsidRDefault="0099442C">
            <w:r>
              <w:t>Excitation laser wavelengths</w:t>
            </w:r>
          </w:p>
        </w:tc>
        <w:tc>
          <w:tcPr>
            <w:tcW w:w="1320" w:type="dxa"/>
          </w:tcPr>
          <w:p w14:paraId="1DE44CDC" w14:textId="77777777" w:rsidR="008D041B" w:rsidRDefault="0099442C">
            <w:r>
              <w:t>—</w:t>
            </w:r>
          </w:p>
        </w:tc>
        <w:tc>
          <w:tcPr>
            <w:tcW w:w="1320" w:type="dxa"/>
          </w:tcPr>
          <w:p w14:paraId="5A65685E" w14:textId="77777777" w:rsidR="008D041B" w:rsidRDefault="0099442C">
            <w:r>
              <w:t>✗</w:t>
            </w:r>
          </w:p>
        </w:tc>
        <w:tc>
          <w:tcPr>
            <w:tcW w:w="1320" w:type="dxa"/>
          </w:tcPr>
          <w:p w14:paraId="7F61C3D3" w14:textId="77777777" w:rsidR="008D041B" w:rsidRDefault="0099442C">
            <w:r>
              <w:t>✗</w:t>
            </w:r>
          </w:p>
        </w:tc>
        <w:tc>
          <w:tcPr>
            <w:tcW w:w="1320" w:type="dxa"/>
          </w:tcPr>
          <w:p w14:paraId="64A26226" w14:textId="77777777" w:rsidR="008D041B" w:rsidRDefault="0099442C">
            <w:r>
              <w:t>✗</w:t>
            </w:r>
          </w:p>
        </w:tc>
        <w:tc>
          <w:tcPr>
            <w:tcW w:w="1320" w:type="dxa"/>
          </w:tcPr>
          <w:p w14:paraId="449C263E" w14:textId="77777777" w:rsidR="008D041B" w:rsidRPr="00977AB2" w:rsidRDefault="0099442C">
            <w:pPr>
              <w:rPr>
                <w:lang w:val="en-US"/>
              </w:rPr>
            </w:pPr>
            <w:r w:rsidRPr="00977AB2">
              <w:rPr>
                <w:lang w:val="en-US"/>
              </w:rPr>
              <w:t>Not in FCS standard; instrument-specific</w:t>
            </w:r>
          </w:p>
        </w:tc>
      </w:tr>
      <w:tr w:rsidR="008D041B" w:rsidRPr="00431A34" w14:paraId="2845D794" w14:textId="77777777">
        <w:tc>
          <w:tcPr>
            <w:tcW w:w="1320" w:type="dxa"/>
          </w:tcPr>
          <w:p w14:paraId="3D873B8D" w14:textId="77777777" w:rsidR="008D041B" w:rsidRDefault="0099442C">
            <w:r>
              <w:t>Detector/filter configuration</w:t>
            </w:r>
          </w:p>
        </w:tc>
        <w:tc>
          <w:tcPr>
            <w:tcW w:w="1320" w:type="dxa"/>
          </w:tcPr>
          <w:p w14:paraId="08046173" w14:textId="77777777" w:rsidR="008D041B" w:rsidRDefault="0099442C">
            <w:r>
              <w:t>$PnF (non-standard)</w:t>
            </w:r>
          </w:p>
        </w:tc>
        <w:tc>
          <w:tcPr>
            <w:tcW w:w="1320" w:type="dxa"/>
          </w:tcPr>
          <w:p w14:paraId="2B1B285C" w14:textId="77777777" w:rsidR="008D041B" w:rsidRDefault="0099442C">
            <w:r>
              <w:t>~</w:t>
            </w:r>
          </w:p>
        </w:tc>
        <w:tc>
          <w:tcPr>
            <w:tcW w:w="1320" w:type="dxa"/>
          </w:tcPr>
          <w:p w14:paraId="4BE81202" w14:textId="77777777" w:rsidR="008D041B" w:rsidRDefault="0099442C">
            <w:r>
              <w:t>~</w:t>
            </w:r>
          </w:p>
        </w:tc>
        <w:tc>
          <w:tcPr>
            <w:tcW w:w="1320" w:type="dxa"/>
          </w:tcPr>
          <w:p w14:paraId="2107C699" w14:textId="77777777" w:rsidR="008D041B" w:rsidRDefault="0099442C">
            <w:r>
              <w:t>~</w:t>
            </w:r>
          </w:p>
        </w:tc>
        <w:tc>
          <w:tcPr>
            <w:tcW w:w="1320" w:type="dxa"/>
          </w:tcPr>
          <w:p w14:paraId="425A9653" w14:textId="77777777" w:rsidR="008D041B" w:rsidRPr="00977AB2" w:rsidRDefault="0099442C">
            <w:pPr>
              <w:rPr>
                <w:lang w:val="en-US"/>
              </w:rPr>
            </w:pPr>
            <w:r w:rsidRPr="00977AB2">
              <w:rPr>
                <w:lang w:val="en-US"/>
              </w:rPr>
              <w:t>Instrument-specific; not always recorded</w:t>
            </w:r>
          </w:p>
        </w:tc>
      </w:tr>
      <w:tr w:rsidR="008D041B" w:rsidRPr="00431A34" w14:paraId="5A1D773F" w14:textId="77777777">
        <w:tc>
          <w:tcPr>
            <w:tcW w:w="1320" w:type="dxa"/>
          </w:tcPr>
          <w:p w14:paraId="1A6C120C" w14:textId="77777777" w:rsidR="008D041B" w:rsidRDefault="0099442C">
            <w:r>
              <w:t>Amplifier gain / voltage</w:t>
            </w:r>
          </w:p>
        </w:tc>
        <w:tc>
          <w:tcPr>
            <w:tcW w:w="1320" w:type="dxa"/>
          </w:tcPr>
          <w:p w14:paraId="3EFD2290" w14:textId="77777777" w:rsidR="008D041B" w:rsidRDefault="0099442C">
            <w:r>
              <w:t>$PnV, $PnG</w:t>
            </w:r>
          </w:p>
        </w:tc>
        <w:tc>
          <w:tcPr>
            <w:tcW w:w="1320" w:type="dxa"/>
          </w:tcPr>
          <w:p w14:paraId="1023BDBD" w14:textId="77777777" w:rsidR="008D041B" w:rsidRDefault="0099442C">
            <w:r>
              <w:t>~</w:t>
            </w:r>
          </w:p>
        </w:tc>
        <w:tc>
          <w:tcPr>
            <w:tcW w:w="1320" w:type="dxa"/>
          </w:tcPr>
          <w:p w14:paraId="4632C3D1" w14:textId="77777777" w:rsidR="008D041B" w:rsidRDefault="0099442C">
            <w:r>
              <w:t>~</w:t>
            </w:r>
          </w:p>
        </w:tc>
        <w:tc>
          <w:tcPr>
            <w:tcW w:w="1320" w:type="dxa"/>
          </w:tcPr>
          <w:p w14:paraId="248EFFB2" w14:textId="77777777" w:rsidR="008D041B" w:rsidRDefault="0099442C">
            <w:r>
              <w:t>~</w:t>
            </w:r>
          </w:p>
        </w:tc>
        <w:tc>
          <w:tcPr>
            <w:tcW w:w="1320" w:type="dxa"/>
          </w:tcPr>
          <w:p w14:paraId="1CF4102E" w14:textId="77777777" w:rsidR="008D041B" w:rsidRPr="00977AB2" w:rsidRDefault="0099442C">
            <w:pPr>
              <w:rPr>
                <w:lang w:val="en-US"/>
              </w:rPr>
            </w:pPr>
            <w:r w:rsidRPr="00977AB2">
              <w:rPr>
                <w:lang w:val="en-US"/>
              </w:rPr>
              <w:t xml:space="preserve">Instrument-specific; </w:t>
            </w:r>
            <w:r w:rsidRPr="00977AB2">
              <w:rPr>
                <w:lang w:val="en-US"/>
              </w:rPr>
              <w:lastRenderedPageBreak/>
              <w:t>present if recorded</w:t>
            </w:r>
          </w:p>
        </w:tc>
      </w:tr>
    </w:tbl>
    <w:p w14:paraId="3774911E" w14:textId="77777777" w:rsidR="008D041B" w:rsidRDefault="00F065AE">
      <w:r>
        <w:rPr>
          <w:noProof/>
        </w:rPr>
        <w:lastRenderedPageBreak/>
        <w:pict w14:anchorId="24BAE987">
          <v:rect id="_x0000_i1027" alt="" style="width:451.3pt;height:.05pt;mso-width-percent:0;mso-height-percent:0;mso-width-percent:0;mso-height-percent:0" o:hralign="center" o:hrstd="t" o:hr="t"/>
        </w:pict>
      </w:r>
    </w:p>
    <w:p w14:paraId="0DEFEE97" w14:textId="77777777" w:rsidR="008D041B" w:rsidRDefault="0099442C">
      <w:pPr>
        <w:pStyle w:val="Heading2"/>
      </w:pPr>
      <w:bookmarkStart w:id="31" w:name="c.5-acquisition"/>
      <w:bookmarkEnd w:id="30"/>
      <w:r>
        <w:t>C.5 Acquisition</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19FA3FAC" w14:textId="77777777">
        <w:trPr>
          <w:tblHeader/>
        </w:trPr>
        <w:tc>
          <w:tcPr>
            <w:tcW w:w="1320" w:type="dxa"/>
          </w:tcPr>
          <w:p w14:paraId="48A0BD4B" w14:textId="77777777" w:rsidR="008D041B" w:rsidRDefault="0099442C">
            <w:r>
              <w:t>MIFlowCyt item</w:t>
            </w:r>
          </w:p>
        </w:tc>
        <w:tc>
          <w:tcPr>
            <w:tcW w:w="1320" w:type="dxa"/>
          </w:tcPr>
          <w:p w14:paraId="598AC70D" w14:textId="77777777" w:rsidR="008D041B" w:rsidRDefault="0099442C">
            <w:r>
              <w:t>FCS keyword</w:t>
            </w:r>
          </w:p>
        </w:tc>
        <w:tc>
          <w:tcPr>
            <w:tcW w:w="1320" w:type="dxa"/>
          </w:tcPr>
          <w:p w14:paraId="3C0331A3" w14:textId="77777777" w:rsidR="008D041B" w:rsidRDefault="0099442C">
            <w:r>
              <w:t>In v11 workspace?</w:t>
            </w:r>
          </w:p>
        </w:tc>
        <w:tc>
          <w:tcPr>
            <w:tcW w:w="1320" w:type="dxa"/>
          </w:tcPr>
          <w:p w14:paraId="619413FA" w14:textId="77777777" w:rsidR="008D041B" w:rsidRDefault="0099442C">
            <w:r>
              <w:t>Imported to R?</w:t>
            </w:r>
          </w:p>
        </w:tc>
        <w:tc>
          <w:tcPr>
            <w:tcW w:w="1320" w:type="dxa"/>
          </w:tcPr>
          <w:p w14:paraId="08CF4EE4" w14:textId="77777777" w:rsidR="008D041B" w:rsidRDefault="0099442C">
            <w:r>
              <w:t>Exported to v10?</w:t>
            </w:r>
          </w:p>
        </w:tc>
        <w:tc>
          <w:tcPr>
            <w:tcW w:w="1320" w:type="dxa"/>
          </w:tcPr>
          <w:p w14:paraId="141237FA" w14:textId="77777777" w:rsidR="008D041B" w:rsidRDefault="0099442C">
            <w:r>
              <w:t>Notes</w:t>
            </w:r>
          </w:p>
        </w:tc>
      </w:tr>
      <w:tr w:rsidR="008D041B" w14:paraId="34857593" w14:textId="77777777">
        <w:tc>
          <w:tcPr>
            <w:tcW w:w="1320" w:type="dxa"/>
          </w:tcPr>
          <w:p w14:paraId="306978C3" w14:textId="77777777" w:rsidR="008D041B" w:rsidRDefault="0099442C">
            <w:r>
              <w:t>Trigger / threshold channel</w:t>
            </w:r>
          </w:p>
        </w:tc>
        <w:tc>
          <w:tcPr>
            <w:tcW w:w="1320" w:type="dxa"/>
          </w:tcPr>
          <w:p w14:paraId="594A8B0F" w14:textId="77777777" w:rsidR="008D041B" w:rsidRDefault="0099442C">
            <w:r>
              <w:t>—</w:t>
            </w:r>
          </w:p>
        </w:tc>
        <w:tc>
          <w:tcPr>
            <w:tcW w:w="1320" w:type="dxa"/>
          </w:tcPr>
          <w:p w14:paraId="1BC59D76" w14:textId="77777777" w:rsidR="008D041B" w:rsidRDefault="0099442C">
            <w:r>
              <w:t>✗</w:t>
            </w:r>
          </w:p>
        </w:tc>
        <w:tc>
          <w:tcPr>
            <w:tcW w:w="1320" w:type="dxa"/>
          </w:tcPr>
          <w:p w14:paraId="073677A3" w14:textId="77777777" w:rsidR="008D041B" w:rsidRDefault="0099442C">
            <w:r>
              <w:t>✗</w:t>
            </w:r>
          </w:p>
        </w:tc>
        <w:tc>
          <w:tcPr>
            <w:tcW w:w="1320" w:type="dxa"/>
          </w:tcPr>
          <w:p w14:paraId="4F984B6E" w14:textId="77777777" w:rsidR="008D041B" w:rsidRDefault="0099442C">
            <w:r>
              <w:t>✗</w:t>
            </w:r>
          </w:p>
        </w:tc>
        <w:tc>
          <w:tcPr>
            <w:tcW w:w="1320" w:type="dxa"/>
          </w:tcPr>
          <w:p w14:paraId="2092A30A" w14:textId="77777777" w:rsidR="008D041B" w:rsidRDefault="0099442C">
            <w:r>
              <w:t>Not standardized in FCS</w:t>
            </w:r>
          </w:p>
        </w:tc>
      </w:tr>
      <w:tr w:rsidR="008D041B" w14:paraId="3AFEDEF0" w14:textId="77777777">
        <w:tc>
          <w:tcPr>
            <w:tcW w:w="1320" w:type="dxa"/>
          </w:tcPr>
          <w:p w14:paraId="7EFC520E" w14:textId="77777777" w:rsidR="008D041B" w:rsidRDefault="0099442C">
            <w:r>
              <w:t>Threshold value</w:t>
            </w:r>
          </w:p>
        </w:tc>
        <w:tc>
          <w:tcPr>
            <w:tcW w:w="1320" w:type="dxa"/>
          </w:tcPr>
          <w:p w14:paraId="30E4D222" w14:textId="77777777" w:rsidR="008D041B" w:rsidRDefault="0099442C">
            <w:r>
              <w:t>—</w:t>
            </w:r>
          </w:p>
        </w:tc>
        <w:tc>
          <w:tcPr>
            <w:tcW w:w="1320" w:type="dxa"/>
          </w:tcPr>
          <w:p w14:paraId="555E1D2B" w14:textId="77777777" w:rsidR="008D041B" w:rsidRDefault="0099442C">
            <w:r>
              <w:t>✗</w:t>
            </w:r>
          </w:p>
        </w:tc>
        <w:tc>
          <w:tcPr>
            <w:tcW w:w="1320" w:type="dxa"/>
          </w:tcPr>
          <w:p w14:paraId="1691EB04" w14:textId="77777777" w:rsidR="008D041B" w:rsidRDefault="0099442C">
            <w:r>
              <w:t>✗</w:t>
            </w:r>
          </w:p>
        </w:tc>
        <w:tc>
          <w:tcPr>
            <w:tcW w:w="1320" w:type="dxa"/>
          </w:tcPr>
          <w:p w14:paraId="76F1BD9C" w14:textId="77777777" w:rsidR="008D041B" w:rsidRDefault="0099442C">
            <w:r>
              <w:t>✗</w:t>
            </w:r>
          </w:p>
        </w:tc>
        <w:tc>
          <w:tcPr>
            <w:tcW w:w="1320" w:type="dxa"/>
          </w:tcPr>
          <w:p w14:paraId="3303FC9D" w14:textId="77777777" w:rsidR="008D041B" w:rsidRDefault="0099442C">
            <w:r>
              <w:t>Not standardized in FCS</w:t>
            </w:r>
          </w:p>
        </w:tc>
      </w:tr>
      <w:tr w:rsidR="008D041B" w:rsidRPr="00431A34" w14:paraId="10D581FA" w14:textId="77777777">
        <w:tc>
          <w:tcPr>
            <w:tcW w:w="1320" w:type="dxa"/>
          </w:tcPr>
          <w:p w14:paraId="5EBB771A" w14:textId="77777777" w:rsidR="008D041B" w:rsidRDefault="0099442C">
            <w:r>
              <w:t>Collection volume / events</w:t>
            </w:r>
          </w:p>
        </w:tc>
        <w:tc>
          <w:tcPr>
            <w:tcW w:w="1320" w:type="dxa"/>
          </w:tcPr>
          <w:p w14:paraId="58D4F916" w14:textId="77777777" w:rsidR="008D041B" w:rsidRDefault="0099442C">
            <w:r>
              <w:t>$TOT</w:t>
            </w:r>
          </w:p>
        </w:tc>
        <w:tc>
          <w:tcPr>
            <w:tcW w:w="1320" w:type="dxa"/>
          </w:tcPr>
          <w:p w14:paraId="7D649642" w14:textId="77777777" w:rsidR="008D041B" w:rsidRDefault="0099442C">
            <w:r>
              <w:t>✓</w:t>
            </w:r>
          </w:p>
        </w:tc>
        <w:tc>
          <w:tcPr>
            <w:tcW w:w="1320" w:type="dxa"/>
          </w:tcPr>
          <w:p w14:paraId="16E556F1" w14:textId="77777777" w:rsidR="008D041B" w:rsidRDefault="0099442C">
            <w:r>
              <w:t>✓</w:t>
            </w:r>
          </w:p>
        </w:tc>
        <w:tc>
          <w:tcPr>
            <w:tcW w:w="1320" w:type="dxa"/>
          </w:tcPr>
          <w:p w14:paraId="774523DB" w14:textId="77777777" w:rsidR="008D041B" w:rsidRDefault="0099442C">
            <w:r>
              <w:t>✓</w:t>
            </w:r>
          </w:p>
        </w:tc>
        <w:tc>
          <w:tcPr>
            <w:tcW w:w="1320" w:type="dxa"/>
          </w:tcPr>
          <w:p w14:paraId="327D6D43" w14:textId="77777777" w:rsidR="008D041B" w:rsidRPr="00977AB2" w:rsidRDefault="0099442C">
            <w:pPr>
              <w:rPr>
                <w:lang w:val="en-US"/>
              </w:rPr>
            </w:pPr>
            <w:r w:rsidRPr="00977AB2">
              <w:rPr>
                <w:lang w:val="en-US"/>
              </w:rPr>
              <w:t>Total event count; used in sample naming</w:t>
            </w:r>
          </w:p>
        </w:tc>
      </w:tr>
      <w:tr w:rsidR="008D041B" w14:paraId="55FFDF42" w14:textId="77777777">
        <w:tc>
          <w:tcPr>
            <w:tcW w:w="1320" w:type="dxa"/>
          </w:tcPr>
          <w:p w14:paraId="69E8171B" w14:textId="77777777" w:rsidR="008D041B" w:rsidRDefault="0099442C">
            <w:r>
              <w:t>Number of parameters</w:t>
            </w:r>
          </w:p>
        </w:tc>
        <w:tc>
          <w:tcPr>
            <w:tcW w:w="1320" w:type="dxa"/>
          </w:tcPr>
          <w:p w14:paraId="07CB44FF" w14:textId="77777777" w:rsidR="008D041B" w:rsidRDefault="0099442C">
            <w:r>
              <w:t>$PAR</w:t>
            </w:r>
          </w:p>
        </w:tc>
        <w:tc>
          <w:tcPr>
            <w:tcW w:w="1320" w:type="dxa"/>
          </w:tcPr>
          <w:p w14:paraId="1C22AA7A" w14:textId="77777777" w:rsidR="008D041B" w:rsidRDefault="0099442C">
            <w:r>
              <w:t>✓</w:t>
            </w:r>
          </w:p>
        </w:tc>
        <w:tc>
          <w:tcPr>
            <w:tcW w:w="1320" w:type="dxa"/>
          </w:tcPr>
          <w:p w14:paraId="78F2DADD" w14:textId="77777777" w:rsidR="008D041B" w:rsidRDefault="0099442C">
            <w:r>
              <w:t>✓</w:t>
            </w:r>
          </w:p>
        </w:tc>
        <w:tc>
          <w:tcPr>
            <w:tcW w:w="1320" w:type="dxa"/>
          </w:tcPr>
          <w:p w14:paraId="17C35A9B" w14:textId="77777777" w:rsidR="008D041B" w:rsidRDefault="0099442C">
            <w:r>
              <w:t>✓</w:t>
            </w:r>
          </w:p>
        </w:tc>
        <w:tc>
          <w:tcPr>
            <w:tcW w:w="1320" w:type="dxa"/>
          </w:tcPr>
          <w:p w14:paraId="3C77ABA0" w14:textId="77777777" w:rsidR="008D041B" w:rsidRDefault="0099442C">
            <w:r>
              <w:t>Required FCS keyword</w:t>
            </w:r>
          </w:p>
        </w:tc>
      </w:tr>
      <w:tr w:rsidR="008D041B" w14:paraId="514EADE4" w14:textId="77777777">
        <w:tc>
          <w:tcPr>
            <w:tcW w:w="1320" w:type="dxa"/>
          </w:tcPr>
          <w:p w14:paraId="5424C16A" w14:textId="77777777" w:rsidR="008D041B" w:rsidRDefault="0099442C">
            <w:r>
              <w:t>FCS file format version</w:t>
            </w:r>
          </w:p>
        </w:tc>
        <w:tc>
          <w:tcPr>
            <w:tcW w:w="1320" w:type="dxa"/>
          </w:tcPr>
          <w:p w14:paraId="211CE291" w14:textId="77777777" w:rsidR="008D041B" w:rsidRDefault="0099442C">
            <w:r>
              <w:t>FCSversion</w:t>
            </w:r>
          </w:p>
        </w:tc>
        <w:tc>
          <w:tcPr>
            <w:tcW w:w="1320" w:type="dxa"/>
          </w:tcPr>
          <w:p w14:paraId="6C2C8D18" w14:textId="77777777" w:rsidR="008D041B" w:rsidRDefault="0099442C">
            <w:r>
              <w:t>✓</w:t>
            </w:r>
          </w:p>
        </w:tc>
        <w:tc>
          <w:tcPr>
            <w:tcW w:w="1320" w:type="dxa"/>
          </w:tcPr>
          <w:p w14:paraId="042DC94F" w14:textId="77777777" w:rsidR="008D041B" w:rsidRDefault="0099442C">
            <w:r>
              <w:t>✓</w:t>
            </w:r>
          </w:p>
        </w:tc>
        <w:tc>
          <w:tcPr>
            <w:tcW w:w="1320" w:type="dxa"/>
          </w:tcPr>
          <w:p w14:paraId="6B908B47" w14:textId="77777777" w:rsidR="008D041B" w:rsidRDefault="0099442C">
            <w:r>
              <w:t>✓</w:t>
            </w:r>
          </w:p>
        </w:tc>
        <w:tc>
          <w:tcPr>
            <w:tcW w:w="1320" w:type="dxa"/>
          </w:tcPr>
          <w:p w14:paraId="233C09BF" w14:textId="77777777" w:rsidR="008D041B" w:rsidRDefault="0099442C">
            <w:r>
              <w:t>Written as keyword</w:t>
            </w:r>
          </w:p>
        </w:tc>
      </w:tr>
      <w:tr w:rsidR="008D041B" w14:paraId="4DC06CED" w14:textId="77777777">
        <w:tc>
          <w:tcPr>
            <w:tcW w:w="1320" w:type="dxa"/>
          </w:tcPr>
          <w:p w14:paraId="5271E4EF" w14:textId="77777777" w:rsidR="008D041B" w:rsidRDefault="0099442C">
            <w:r>
              <w:t>Data type</w:t>
            </w:r>
          </w:p>
        </w:tc>
        <w:tc>
          <w:tcPr>
            <w:tcW w:w="1320" w:type="dxa"/>
          </w:tcPr>
          <w:p w14:paraId="76688E3F" w14:textId="77777777" w:rsidR="008D041B" w:rsidRDefault="0099442C">
            <w:r>
              <w:t>$DATATYPE</w:t>
            </w:r>
          </w:p>
        </w:tc>
        <w:tc>
          <w:tcPr>
            <w:tcW w:w="1320" w:type="dxa"/>
          </w:tcPr>
          <w:p w14:paraId="2425F688" w14:textId="77777777" w:rsidR="008D041B" w:rsidRDefault="0099442C">
            <w:r>
              <w:t>✓</w:t>
            </w:r>
          </w:p>
        </w:tc>
        <w:tc>
          <w:tcPr>
            <w:tcW w:w="1320" w:type="dxa"/>
          </w:tcPr>
          <w:p w14:paraId="5F6F8B9B" w14:textId="77777777" w:rsidR="008D041B" w:rsidRDefault="0099442C">
            <w:r>
              <w:t>~</w:t>
            </w:r>
          </w:p>
        </w:tc>
        <w:tc>
          <w:tcPr>
            <w:tcW w:w="1320" w:type="dxa"/>
          </w:tcPr>
          <w:p w14:paraId="554BAF18" w14:textId="77777777" w:rsidR="008D041B" w:rsidRDefault="0099442C">
            <w:r>
              <w:t>✓</w:t>
            </w:r>
          </w:p>
        </w:tc>
        <w:tc>
          <w:tcPr>
            <w:tcW w:w="1320" w:type="dxa"/>
          </w:tcPr>
          <w:p w14:paraId="53891A3D" w14:textId="77777777" w:rsidR="008D041B" w:rsidRDefault="0099442C">
            <w:r>
              <w:t>In FCS keywords</w:t>
            </w:r>
          </w:p>
        </w:tc>
      </w:tr>
      <w:tr w:rsidR="008D041B" w14:paraId="17C98B6F" w14:textId="77777777">
        <w:tc>
          <w:tcPr>
            <w:tcW w:w="1320" w:type="dxa"/>
          </w:tcPr>
          <w:p w14:paraId="6A1FA6F9" w14:textId="77777777" w:rsidR="008D041B" w:rsidRDefault="0099442C">
            <w:r>
              <w:t>Byte order</w:t>
            </w:r>
          </w:p>
        </w:tc>
        <w:tc>
          <w:tcPr>
            <w:tcW w:w="1320" w:type="dxa"/>
          </w:tcPr>
          <w:p w14:paraId="5B55875B" w14:textId="77777777" w:rsidR="008D041B" w:rsidRDefault="0099442C">
            <w:r>
              <w:t>$BYTEORD</w:t>
            </w:r>
          </w:p>
        </w:tc>
        <w:tc>
          <w:tcPr>
            <w:tcW w:w="1320" w:type="dxa"/>
          </w:tcPr>
          <w:p w14:paraId="7B369349" w14:textId="77777777" w:rsidR="008D041B" w:rsidRDefault="0099442C">
            <w:r>
              <w:t>✓</w:t>
            </w:r>
          </w:p>
        </w:tc>
        <w:tc>
          <w:tcPr>
            <w:tcW w:w="1320" w:type="dxa"/>
          </w:tcPr>
          <w:p w14:paraId="77BD4091" w14:textId="77777777" w:rsidR="008D041B" w:rsidRDefault="0099442C">
            <w:r>
              <w:t>~</w:t>
            </w:r>
          </w:p>
        </w:tc>
        <w:tc>
          <w:tcPr>
            <w:tcW w:w="1320" w:type="dxa"/>
          </w:tcPr>
          <w:p w14:paraId="3262EDD7" w14:textId="77777777" w:rsidR="008D041B" w:rsidRDefault="0099442C">
            <w:r>
              <w:t>✓</w:t>
            </w:r>
          </w:p>
        </w:tc>
        <w:tc>
          <w:tcPr>
            <w:tcW w:w="1320" w:type="dxa"/>
          </w:tcPr>
          <w:p w14:paraId="184B31FE" w14:textId="77777777" w:rsidR="008D041B" w:rsidRDefault="0099442C">
            <w:r>
              <w:t>In FCS keywords</w:t>
            </w:r>
          </w:p>
        </w:tc>
      </w:tr>
    </w:tbl>
    <w:p w14:paraId="29F6D09B" w14:textId="77777777" w:rsidR="008D041B" w:rsidRDefault="00F065AE">
      <w:r>
        <w:rPr>
          <w:noProof/>
        </w:rPr>
        <w:pict w14:anchorId="4DA9CAD3">
          <v:rect id="_x0000_i1026" alt="" style="width:451.3pt;height:.05pt;mso-width-percent:0;mso-height-percent:0;mso-width-percent:0;mso-height-percent:0" o:hralign="center" o:hrstd="t" o:hr="t"/>
        </w:pict>
      </w:r>
    </w:p>
    <w:p w14:paraId="7CAD9562" w14:textId="77777777" w:rsidR="008D041B" w:rsidRDefault="0099442C">
      <w:pPr>
        <w:pStyle w:val="Heading2"/>
      </w:pPr>
      <w:bookmarkStart w:id="32" w:name="c.6-data-analysis"/>
      <w:bookmarkEnd w:id="31"/>
      <w:r>
        <w:t>C.6 Data Analysis</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4672F978" w14:textId="77777777">
        <w:trPr>
          <w:tblHeader/>
        </w:trPr>
        <w:tc>
          <w:tcPr>
            <w:tcW w:w="1320" w:type="dxa"/>
          </w:tcPr>
          <w:p w14:paraId="2A48D0F5" w14:textId="77777777" w:rsidR="008D041B" w:rsidRDefault="0099442C">
            <w:r>
              <w:t>MIFlowCyt item</w:t>
            </w:r>
          </w:p>
        </w:tc>
        <w:tc>
          <w:tcPr>
            <w:tcW w:w="1320" w:type="dxa"/>
          </w:tcPr>
          <w:p w14:paraId="46850053" w14:textId="77777777" w:rsidR="008D041B" w:rsidRDefault="0099442C">
            <w:r>
              <w:t>Source</w:t>
            </w:r>
          </w:p>
        </w:tc>
        <w:tc>
          <w:tcPr>
            <w:tcW w:w="1320" w:type="dxa"/>
          </w:tcPr>
          <w:p w14:paraId="776A4844" w14:textId="77777777" w:rsidR="008D041B" w:rsidRDefault="0099442C">
            <w:r>
              <w:t>In v11 workspace?</w:t>
            </w:r>
          </w:p>
        </w:tc>
        <w:tc>
          <w:tcPr>
            <w:tcW w:w="1320" w:type="dxa"/>
          </w:tcPr>
          <w:p w14:paraId="436349EB" w14:textId="77777777" w:rsidR="008D041B" w:rsidRDefault="0099442C">
            <w:r>
              <w:t>Imported to R?</w:t>
            </w:r>
          </w:p>
        </w:tc>
        <w:tc>
          <w:tcPr>
            <w:tcW w:w="1320" w:type="dxa"/>
          </w:tcPr>
          <w:p w14:paraId="5317A7E4" w14:textId="77777777" w:rsidR="008D041B" w:rsidRDefault="0099442C">
            <w:r>
              <w:t>Exported to v10?</w:t>
            </w:r>
          </w:p>
        </w:tc>
        <w:tc>
          <w:tcPr>
            <w:tcW w:w="1320" w:type="dxa"/>
          </w:tcPr>
          <w:p w14:paraId="4D90C8C5" w14:textId="77777777" w:rsidR="008D041B" w:rsidRDefault="0099442C">
            <w:r>
              <w:t>Notes</w:t>
            </w:r>
          </w:p>
        </w:tc>
      </w:tr>
      <w:tr w:rsidR="008D041B" w:rsidRPr="00431A34" w14:paraId="31B9198C" w14:textId="77777777">
        <w:tc>
          <w:tcPr>
            <w:tcW w:w="1320" w:type="dxa"/>
          </w:tcPr>
          <w:p w14:paraId="43D94A82" w14:textId="77777777" w:rsidR="008D041B" w:rsidRDefault="0099442C">
            <w:r>
              <w:t>Analysis software name</w:t>
            </w:r>
          </w:p>
        </w:tc>
        <w:tc>
          <w:tcPr>
            <w:tcW w:w="1320" w:type="dxa"/>
          </w:tcPr>
          <w:p w14:paraId="020C35DF" w14:textId="77777777" w:rsidR="008D041B" w:rsidRDefault="0099442C">
            <w:r>
              <w:t>Workspace JSON</w:t>
            </w:r>
          </w:p>
        </w:tc>
        <w:tc>
          <w:tcPr>
            <w:tcW w:w="1320" w:type="dxa"/>
          </w:tcPr>
          <w:p w14:paraId="297B5AEB" w14:textId="77777777" w:rsidR="008D041B" w:rsidRDefault="0099442C">
            <w:r>
              <w:t>✓</w:t>
            </w:r>
          </w:p>
        </w:tc>
        <w:tc>
          <w:tcPr>
            <w:tcW w:w="1320" w:type="dxa"/>
          </w:tcPr>
          <w:p w14:paraId="7C5BB7F8" w14:textId="77777777" w:rsidR="008D041B" w:rsidRDefault="0099442C">
            <w:r>
              <w:t>✗</w:t>
            </w:r>
          </w:p>
        </w:tc>
        <w:tc>
          <w:tcPr>
            <w:tcW w:w="1320" w:type="dxa"/>
          </w:tcPr>
          <w:p w14:paraId="65ADAAB0" w14:textId="77777777" w:rsidR="008D041B" w:rsidRDefault="0099442C">
            <w:r>
              <w:t>✗</w:t>
            </w:r>
          </w:p>
        </w:tc>
        <w:tc>
          <w:tcPr>
            <w:tcW w:w="1320" w:type="dxa"/>
          </w:tcPr>
          <w:p w14:paraId="527A1D0B" w14:textId="77777777" w:rsidR="008D041B" w:rsidRPr="00977AB2" w:rsidRDefault="0099442C">
            <w:pPr>
              <w:rPr>
                <w:lang w:val="en-US"/>
              </w:rPr>
            </w:pPr>
            <w:r w:rsidRPr="00977AB2">
              <w:rPr>
                <w:lang w:val="en-US"/>
              </w:rPr>
              <w:t>FlowJo version in schemaVersion; not propagated to GatingSet</w:t>
            </w:r>
          </w:p>
        </w:tc>
      </w:tr>
      <w:tr w:rsidR="008D041B" w14:paraId="1B7F92D1" w14:textId="77777777">
        <w:tc>
          <w:tcPr>
            <w:tcW w:w="1320" w:type="dxa"/>
          </w:tcPr>
          <w:p w14:paraId="2515CE94" w14:textId="77777777" w:rsidR="008D041B" w:rsidRDefault="0099442C">
            <w:r>
              <w:t>Analysis software version</w:t>
            </w:r>
          </w:p>
        </w:tc>
        <w:tc>
          <w:tcPr>
            <w:tcW w:w="1320" w:type="dxa"/>
          </w:tcPr>
          <w:p w14:paraId="50A2B884" w14:textId="77777777" w:rsidR="008D041B" w:rsidRDefault="0099442C">
            <w:r>
              <w:t>Workspace JSON</w:t>
            </w:r>
          </w:p>
        </w:tc>
        <w:tc>
          <w:tcPr>
            <w:tcW w:w="1320" w:type="dxa"/>
          </w:tcPr>
          <w:p w14:paraId="0D8D7500" w14:textId="77777777" w:rsidR="008D041B" w:rsidRDefault="0099442C">
            <w:r>
              <w:t>✓</w:t>
            </w:r>
          </w:p>
        </w:tc>
        <w:tc>
          <w:tcPr>
            <w:tcW w:w="1320" w:type="dxa"/>
          </w:tcPr>
          <w:p w14:paraId="06CE3AB3" w14:textId="77777777" w:rsidR="008D041B" w:rsidRDefault="0099442C">
            <w:r>
              <w:t>✗</w:t>
            </w:r>
          </w:p>
        </w:tc>
        <w:tc>
          <w:tcPr>
            <w:tcW w:w="1320" w:type="dxa"/>
          </w:tcPr>
          <w:p w14:paraId="30AE9342" w14:textId="77777777" w:rsidR="008D041B" w:rsidRDefault="0099442C">
            <w:r>
              <w:t>✗</w:t>
            </w:r>
          </w:p>
        </w:tc>
        <w:tc>
          <w:tcPr>
            <w:tcW w:w="1320" w:type="dxa"/>
          </w:tcPr>
          <w:p w14:paraId="34542797" w14:textId="77777777" w:rsidR="008D041B" w:rsidRDefault="0099442C">
            <w:r>
              <w:t>As above</w:t>
            </w:r>
          </w:p>
        </w:tc>
      </w:tr>
      <w:tr w:rsidR="008D041B" w14:paraId="771C7A62" w14:textId="77777777">
        <w:tc>
          <w:tcPr>
            <w:tcW w:w="1320" w:type="dxa"/>
          </w:tcPr>
          <w:p w14:paraId="08300FEE" w14:textId="77777777" w:rsidR="008D041B" w:rsidRDefault="0099442C">
            <w:r>
              <w:t>Gate names</w:t>
            </w:r>
          </w:p>
        </w:tc>
        <w:tc>
          <w:tcPr>
            <w:tcW w:w="1320" w:type="dxa"/>
          </w:tcPr>
          <w:p w14:paraId="36DFD32F" w14:textId="77777777" w:rsidR="008D041B" w:rsidRDefault="0099442C">
            <w:r>
              <w:t>populationDefinitions</w:t>
            </w:r>
          </w:p>
        </w:tc>
        <w:tc>
          <w:tcPr>
            <w:tcW w:w="1320" w:type="dxa"/>
          </w:tcPr>
          <w:p w14:paraId="43B594FB" w14:textId="77777777" w:rsidR="008D041B" w:rsidRDefault="0099442C">
            <w:r>
              <w:t>✓</w:t>
            </w:r>
          </w:p>
        </w:tc>
        <w:tc>
          <w:tcPr>
            <w:tcW w:w="1320" w:type="dxa"/>
          </w:tcPr>
          <w:p w14:paraId="28213208" w14:textId="77777777" w:rsidR="008D041B" w:rsidRDefault="0099442C">
            <w:r>
              <w:t>✓</w:t>
            </w:r>
          </w:p>
        </w:tc>
        <w:tc>
          <w:tcPr>
            <w:tcW w:w="1320" w:type="dxa"/>
          </w:tcPr>
          <w:p w14:paraId="1C893660" w14:textId="77777777" w:rsidR="008D041B" w:rsidRDefault="0099442C">
            <w:r>
              <w:t>✓</w:t>
            </w:r>
          </w:p>
        </w:tc>
        <w:tc>
          <w:tcPr>
            <w:tcW w:w="1320" w:type="dxa"/>
          </w:tcPr>
          <w:p w14:paraId="56F7AFB4" w14:textId="77777777" w:rsidR="008D041B" w:rsidRDefault="0099442C">
            <w:r>
              <w:t>Fully extracted into GatingHierarchy</w:t>
            </w:r>
          </w:p>
        </w:tc>
      </w:tr>
      <w:tr w:rsidR="008D041B" w:rsidRPr="00431A34" w14:paraId="1B2FBC78" w14:textId="77777777">
        <w:tc>
          <w:tcPr>
            <w:tcW w:w="1320" w:type="dxa"/>
          </w:tcPr>
          <w:p w14:paraId="1A8FF452" w14:textId="77777777" w:rsidR="008D041B" w:rsidRDefault="0099442C">
            <w:r>
              <w:t>Gate coordinates</w:t>
            </w:r>
          </w:p>
        </w:tc>
        <w:tc>
          <w:tcPr>
            <w:tcW w:w="1320" w:type="dxa"/>
          </w:tcPr>
          <w:p w14:paraId="1F9CA4DD" w14:textId="77777777" w:rsidR="008D041B" w:rsidRDefault="0099442C">
            <w:r>
              <w:t>gateDefinition</w:t>
            </w:r>
          </w:p>
        </w:tc>
        <w:tc>
          <w:tcPr>
            <w:tcW w:w="1320" w:type="dxa"/>
          </w:tcPr>
          <w:p w14:paraId="576D792B" w14:textId="77777777" w:rsidR="008D041B" w:rsidRDefault="0099442C">
            <w:r>
              <w:t>✓</w:t>
            </w:r>
          </w:p>
        </w:tc>
        <w:tc>
          <w:tcPr>
            <w:tcW w:w="1320" w:type="dxa"/>
          </w:tcPr>
          <w:p w14:paraId="1DCE3A05" w14:textId="77777777" w:rsidR="008D041B" w:rsidRDefault="0099442C">
            <w:r>
              <w:t>✓</w:t>
            </w:r>
          </w:p>
        </w:tc>
        <w:tc>
          <w:tcPr>
            <w:tcW w:w="1320" w:type="dxa"/>
          </w:tcPr>
          <w:p w14:paraId="0B948BAA" w14:textId="77777777" w:rsidR="008D041B" w:rsidRDefault="0099442C">
            <w:r>
              <w:t>✓</w:t>
            </w:r>
          </w:p>
        </w:tc>
        <w:tc>
          <w:tcPr>
            <w:tcW w:w="1320" w:type="dxa"/>
          </w:tcPr>
          <w:p w14:paraId="5CBEB4EC" w14:textId="77777777" w:rsidR="008D041B" w:rsidRPr="00977AB2" w:rsidRDefault="0099442C">
            <w:pPr>
              <w:rPr>
                <w:lang w:val="en-US"/>
              </w:rPr>
            </w:pPr>
            <w:r w:rsidRPr="00977AB2">
              <w:rPr>
                <w:lang w:val="en-US"/>
              </w:rPr>
              <w:t xml:space="preserve">All gate types including </w:t>
            </w:r>
            <w:r w:rsidRPr="00977AB2">
              <w:rPr>
                <w:lang w:val="en-US"/>
              </w:rPr>
              <w:lastRenderedPageBreak/>
              <w:t>per-sample variations</w:t>
            </w:r>
          </w:p>
        </w:tc>
      </w:tr>
      <w:tr w:rsidR="008D041B" w14:paraId="523BD6B5" w14:textId="77777777">
        <w:tc>
          <w:tcPr>
            <w:tcW w:w="1320" w:type="dxa"/>
          </w:tcPr>
          <w:p w14:paraId="115E0F4E" w14:textId="77777777" w:rsidR="008D041B" w:rsidRDefault="0099442C">
            <w:r>
              <w:lastRenderedPageBreak/>
              <w:t>Gate hierarchy</w:t>
            </w:r>
          </w:p>
        </w:tc>
        <w:tc>
          <w:tcPr>
            <w:tcW w:w="1320" w:type="dxa"/>
          </w:tcPr>
          <w:p w14:paraId="607DD04B" w14:textId="77777777" w:rsidR="008D041B" w:rsidRDefault="0099442C">
            <w:r>
              <w:t>parent/child UUIDs</w:t>
            </w:r>
          </w:p>
        </w:tc>
        <w:tc>
          <w:tcPr>
            <w:tcW w:w="1320" w:type="dxa"/>
          </w:tcPr>
          <w:p w14:paraId="55ACA67C" w14:textId="77777777" w:rsidR="008D041B" w:rsidRDefault="0099442C">
            <w:r>
              <w:t>✓</w:t>
            </w:r>
          </w:p>
        </w:tc>
        <w:tc>
          <w:tcPr>
            <w:tcW w:w="1320" w:type="dxa"/>
          </w:tcPr>
          <w:p w14:paraId="5B7BC9B3" w14:textId="77777777" w:rsidR="008D041B" w:rsidRDefault="0099442C">
            <w:r>
              <w:t>✓</w:t>
            </w:r>
          </w:p>
        </w:tc>
        <w:tc>
          <w:tcPr>
            <w:tcW w:w="1320" w:type="dxa"/>
          </w:tcPr>
          <w:p w14:paraId="36F5AC06" w14:textId="77777777" w:rsidR="008D041B" w:rsidRDefault="0099442C">
            <w:r>
              <w:t>✓</w:t>
            </w:r>
          </w:p>
        </w:tc>
        <w:tc>
          <w:tcPr>
            <w:tcW w:w="1320" w:type="dxa"/>
          </w:tcPr>
          <w:p w14:paraId="09D52D69" w14:textId="77777777" w:rsidR="008D041B" w:rsidRDefault="0099442C">
            <w:r>
              <w:t>Full population tree preserved</w:t>
            </w:r>
          </w:p>
        </w:tc>
      </w:tr>
      <w:tr w:rsidR="008D041B" w:rsidRPr="00977AB2" w14:paraId="71C3B0FD" w14:textId="77777777">
        <w:tc>
          <w:tcPr>
            <w:tcW w:w="1320" w:type="dxa"/>
          </w:tcPr>
          <w:p w14:paraId="5CA8B51E" w14:textId="77777777" w:rsidR="008D041B" w:rsidRDefault="0099442C">
            <w:r>
              <w:t>Transformation type</w:t>
            </w:r>
          </w:p>
        </w:tc>
        <w:tc>
          <w:tcPr>
            <w:tcW w:w="1320" w:type="dxa"/>
          </w:tcPr>
          <w:p w14:paraId="4F393828" w14:textId="77777777" w:rsidR="008D041B" w:rsidRDefault="0099442C">
            <w:r>
              <w:t>axis parameterSpec</w:t>
            </w:r>
          </w:p>
        </w:tc>
        <w:tc>
          <w:tcPr>
            <w:tcW w:w="1320" w:type="dxa"/>
          </w:tcPr>
          <w:p w14:paraId="612C44D3" w14:textId="77777777" w:rsidR="008D041B" w:rsidRDefault="0099442C">
            <w:r>
              <w:t>✓</w:t>
            </w:r>
          </w:p>
        </w:tc>
        <w:tc>
          <w:tcPr>
            <w:tcW w:w="1320" w:type="dxa"/>
          </w:tcPr>
          <w:p w14:paraId="7A593AE0" w14:textId="77777777" w:rsidR="008D041B" w:rsidRDefault="0099442C">
            <w:r>
              <w:t>✓</w:t>
            </w:r>
          </w:p>
        </w:tc>
        <w:tc>
          <w:tcPr>
            <w:tcW w:w="1320" w:type="dxa"/>
          </w:tcPr>
          <w:p w14:paraId="4C34969D" w14:textId="77777777" w:rsidR="008D041B" w:rsidRDefault="0099442C">
            <w:r>
              <w:t>✓</w:t>
            </w:r>
          </w:p>
        </w:tc>
        <w:tc>
          <w:tcPr>
            <w:tcW w:w="1320" w:type="dxa"/>
          </w:tcPr>
          <w:p w14:paraId="1882ECD0" w14:textId="77777777" w:rsidR="008D041B" w:rsidRPr="00977AB2" w:rsidRDefault="0099442C">
            <w:pPr>
              <w:rPr>
                <w:lang w:val="en-US"/>
              </w:rPr>
            </w:pPr>
            <w:r w:rsidRPr="00977AB2">
              <w:rPr>
                <w:lang w:val="en-US"/>
              </w:rPr>
              <w:t>biexp, logicle, log, arcsinh, linear</w:t>
            </w:r>
          </w:p>
        </w:tc>
      </w:tr>
      <w:tr w:rsidR="008D041B" w:rsidRPr="00431A34" w14:paraId="62CBFFF8" w14:textId="77777777">
        <w:tc>
          <w:tcPr>
            <w:tcW w:w="1320" w:type="dxa"/>
          </w:tcPr>
          <w:p w14:paraId="7B69DA69" w14:textId="77777777" w:rsidR="008D041B" w:rsidRDefault="0099442C">
            <w:r>
              <w:t>Transformation parameters</w:t>
            </w:r>
          </w:p>
        </w:tc>
        <w:tc>
          <w:tcPr>
            <w:tcW w:w="1320" w:type="dxa"/>
          </w:tcPr>
          <w:p w14:paraId="26ECDBC4" w14:textId="77777777" w:rsidR="008D041B" w:rsidRDefault="0099442C">
            <w:r>
              <w:t>axis parameterSpec</w:t>
            </w:r>
          </w:p>
        </w:tc>
        <w:tc>
          <w:tcPr>
            <w:tcW w:w="1320" w:type="dxa"/>
          </w:tcPr>
          <w:p w14:paraId="67B7BE26" w14:textId="77777777" w:rsidR="008D041B" w:rsidRDefault="0099442C">
            <w:r>
              <w:t>✓</w:t>
            </w:r>
          </w:p>
        </w:tc>
        <w:tc>
          <w:tcPr>
            <w:tcW w:w="1320" w:type="dxa"/>
          </w:tcPr>
          <w:p w14:paraId="0F06B0BE" w14:textId="77777777" w:rsidR="008D041B" w:rsidRDefault="0099442C">
            <w:r>
              <w:t>✓</w:t>
            </w:r>
          </w:p>
        </w:tc>
        <w:tc>
          <w:tcPr>
            <w:tcW w:w="1320" w:type="dxa"/>
          </w:tcPr>
          <w:p w14:paraId="0EB722F2" w14:textId="77777777" w:rsidR="008D041B" w:rsidRDefault="0099442C">
            <w:r>
              <w:t>✓</w:t>
            </w:r>
          </w:p>
        </w:tc>
        <w:tc>
          <w:tcPr>
            <w:tcW w:w="1320" w:type="dxa"/>
          </w:tcPr>
          <w:p w14:paraId="22C4610D" w14:textId="77777777" w:rsidR="008D041B" w:rsidRPr="00977AB2" w:rsidRDefault="0099442C">
            <w:pPr>
              <w:rPr>
                <w:lang w:val="en-US"/>
              </w:rPr>
            </w:pPr>
            <w:r w:rsidRPr="00977AB2">
              <w:rPr>
                <w:lang w:val="en-US"/>
              </w:rPr>
              <w:t>T, W, M, A parameters for each channel</w:t>
            </w:r>
          </w:p>
        </w:tc>
      </w:tr>
      <w:tr w:rsidR="008D041B" w:rsidRPr="00977AB2" w14:paraId="3BC9F010" w14:textId="77777777">
        <w:tc>
          <w:tcPr>
            <w:tcW w:w="1320" w:type="dxa"/>
          </w:tcPr>
          <w:p w14:paraId="4727BB8A" w14:textId="77777777" w:rsidR="008D041B" w:rsidRDefault="0099442C">
            <w:r>
              <w:t>Compensation matrix</w:t>
            </w:r>
          </w:p>
        </w:tc>
        <w:tc>
          <w:tcPr>
            <w:tcW w:w="1320" w:type="dxa"/>
          </w:tcPr>
          <w:p w14:paraId="5A526CEE" w14:textId="77777777" w:rsidR="008D041B" w:rsidRDefault="0099442C">
            <w:r>
              <w:t>platforms.spilloverMatrix</w:t>
            </w:r>
          </w:p>
        </w:tc>
        <w:tc>
          <w:tcPr>
            <w:tcW w:w="1320" w:type="dxa"/>
          </w:tcPr>
          <w:p w14:paraId="2729D176" w14:textId="77777777" w:rsidR="008D041B" w:rsidRDefault="0099442C">
            <w:r>
              <w:t>✓</w:t>
            </w:r>
          </w:p>
        </w:tc>
        <w:tc>
          <w:tcPr>
            <w:tcW w:w="1320" w:type="dxa"/>
          </w:tcPr>
          <w:p w14:paraId="0A555E08" w14:textId="77777777" w:rsidR="008D041B" w:rsidRDefault="0099442C">
            <w:r>
              <w:t>✓</w:t>
            </w:r>
          </w:p>
        </w:tc>
        <w:tc>
          <w:tcPr>
            <w:tcW w:w="1320" w:type="dxa"/>
          </w:tcPr>
          <w:p w14:paraId="08051B4C" w14:textId="77777777" w:rsidR="008D041B" w:rsidRDefault="0099442C">
            <w:r>
              <w:t>✓</w:t>
            </w:r>
          </w:p>
        </w:tc>
        <w:tc>
          <w:tcPr>
            <w:tcW w:w="1320" w:type="dxa"/>
          </w:tcPr>
          <w:p w14:paraId="46F4E38A" w14:textId="77777777" w:rsidR="008D041B" w:rsidRPr="00977AB2" w:rsidRDefault="0099442C">
            <w:pPr>
              <w:rPr>
                <w:lang w:val="en-US"/>
              </w:rPr>
            </w:pPr>
            <w:r w:rsidRPr="00977AB2">
              <w:rPr>
                <w:lang w:val="en-US"/>
              </w:rPr>
              <w:t>Extracted from multiple possible sources</w:t>
            </w:r>
          </w:p>
        </w:tc>
      </w:tr>
      <w:tr w:rsidR="008D041B" w:rsidRPr="00431A34" w14:paraId="1B818323" w14:textId="77777777">
        <w:tc>
          <w:tcPr>
            <w:tcW w:w="1320" w:type="dxa"/>
          </w:tcPr>
          <w:p w14:paraId="4D0B61DD" w14:textId="77777777" w:rsidR="008D041B" w:rsidRDefault="0099442C">
            <w:r>
              <w:t>Compensation controls</w:t>
            </w:r>
          </w:p>
        </w:tc>
        <w:tc>
          <w:tcPr>
            <w:tcW w:w="1320" w:type="dxa"/>
          </w:tcPr>
          <w:p w14:paraId="48B64323" w14:textId="77777777" w:rsidR="008D041B" w:rsidRDefault="0099442C">
            <w:r>
              <w:t>Compensation group</w:t>
            </w:r>
          </w:p>
        </w:tc>
        <w:tc>
          <w:tcPr>
            <w:tcW w:w="1320" w:type="dxa"/>
          </w:tcPr>
          <w:p w14:paraId="133A661E" w14:textId="77777777" w:rsidR="008D041B" w:rsidRDefault="0099442C">
            <w:r>
              <w:t>✓</w:t>
            </w:r>
          </w:p>
        </w:tc>
        <w:tc>
          <w:tcPr>
            <w:tcW w:w="1320" w:type="dxa"/>
          </w:tcPr>
          <w:p w14:paraId="426C3C8E" w14:textId="77777777" w:rsidR="008D041B" w:rsidRDefault="0099442C">
            <w:r>
              <w:t>~</w:t>
            </w:r>
          </w:p>
        </w:tc>
        <w:tc>
          <w:tcPr>
            <w:tcW w:w="1320" w:type="dxa"/>
          </w:tcPr>
          <w:p w14:paraId="4D5BDB24" w14:textId="77777777" w:rsidR="008D041B" w:rsidRDefault="0099442C">
            <w:r>
              <w:t>~</w:t>
            </w:r>
          </w:p>
        </w:tc>
        <w:tc>
          <w:tcPr>
            <w:tcW w:w="1320" w:type="dxa"/>
          </w:tcPr>
          <w:p w14:paraId="57F2DFD3" w14:textId="77777777" w:rsidR="008D041B" w:rsidRPr="00977AB2" w:rsidRDefault="0099442C">
            <w:pPr>
              <w:rPr>
                <w:lang w:val="en-US"/>
              </w:rPr>
            </w:pPr>
            <w:r w:rsidRPr="00977AB2">
              <w:rPr>
                <w:lang w:val="en-US"/>
              </w:rPr>
              <w:t>Group identified; FCS files resolved</w:t>
            </w:r>
          </w:p>
        </w:tc>
      </w:tr>
      <w:tr w:rsidR="008D041B" w:rsidRPr="00431A34" w14:paraId="65EA16E5" w14:textId="77777777">
        <w:tc>
          <w:tcPr>
            <w:tcW w:w="1320" w:type="dxa"/>
          </w:tcPr>
          <w:p w14:paraId="52909541" w14:textId="77777777" w:rsidR="008D041B" w:rsidRDefault="0099442C">
            <w:r>
              <w:t>Population statistics</w:t>
            </w:r>
          </w:p>
        </w:tc>
        <w:tc>
          <w:tcPr>
            <w:tcW w:w="1320" w:type="dxa"/>
          </w:tcPr>
          <w:p w14:paraId="0FBAB9A8" w14:textId="77777777" w:rsidR="008D041B" w:rsidRDefault="0099442C">
            <w:r>
              <w:t>populations results</w:t>
            </w:r>
          </w:p>
        </w:tc>
        <w:tc>
          <w:tcPr>
            <w:tcW w:w="1320" w:type="dxa"/>
          </w:tcPr>
          <w:p w14:paraId="097109BF" w14:textId="77777777" w:rsidR="008D041B" w:rsidRDefault="0099442C">
            <w:r>
              <w:t>✓</w:t>
            </w:r>
          </w:p>
        </w:tc>
        <w:tc>
          <w:tcPr>
            <w:tcW w:w="1320" w:type="dxa"/>
          </w:tcPr>
          <w:p w14:paraId="508FA234" w14:textId="77777777" w:rsidR="008D041B" w:rsidRDefault="0099442C">
            <w:r>
              <w:t>✓</w:t>
            </w:r>
          </w:p>
        </w:tc>
        <w:tc>
          <w:tcPr>
            <w:tcW w:w="1320" w:type="dxa"/>
          </w:tcPr>
          <w:p w14:paraId="314E791C" w14:textId="77777777" w:rsidR="008D041B" w:rsidRDefault="0099442C">
            <w:r>
              <w:t>✓</w:t>
            </w:r>
          </w:p>
        </w:tc>
        <w:tc>
          <w:tcPr>
            <w:tcW w:w="1320" w:type="dxa"/>
          </w:tcPr>
          <w:p w14:paraId="2A89074E" w14:textId="77777777" w:rsidR="008D041B" w:rsidRPr="00977AB2" w:rsidRDefault="0099442C">
            <w:pPr>
              <w:rPr>
                <w:lang w:val="en-US"/>
              </w:rPr>
            </w:pPr>
            <w:r w:rsidRPr="00977AB2">
              <w:rPr>
                <w:lang w:val="en-US"/>
              </w:rPr>
              <w:t>Counts, frequencies after gate execution</w:t>
            </w:r>
          </w:p>
        </w:tc>
      </w:tr>
      <w:tr w:rsidR="008D041B" w:rsidRPr="00431A34" w14:paraId="7C955653" w14:textId="77777777">
        <w:tc>
          <w:tcPr>
            <w:tcW w:w="1320" w:type="dxa"/>
          </w:tcPr>
          <w:p w14:paraId="607D4E0B" w14:textId="77777777" w:rsidR="008D041B" w:rsidRDefault="0099442C">
            <w:r>
              <w:t>Per-sample gate variations</w:t>
            </w:r>
          </w:p>
        </w:tc>
        <w:tc>
          <w:tcPr>
            <w:tcW w:w="1320" w:type="dxa"/>
          </w:tcPr>
          <w:p w14:paraId="4227E9B1" w14:textId="77777777" w:rsidR="008D041B" w:rsidRDefault="0099442C">
            <w:r>
              <w:t>desyncTable</w:t>
            </w:r>
          </w:p>
        </w:tc>
        <w:tc>
          <w:tcPr>
            <w:tcW w:w="1320" w:type="dxa"/>
          </w:tcPr>
          <w:p w14:paraId="103D0225" w14:textId="77777777" w:rsidR="008D041B" w:rsidRDefault="0099442C">
            <w:r>
              <w:t>✓</w:t>
            </w:r>
          </w:p>
        </w:tc>
        <w:tc>
          <w:tcPr>
            <w:tcW w:w="1320" w:type="dxa"/>
          </w:tcPr>
          <w:p w14:paraId="0F880CED" w14:textId="77777777" w:rsidR="008D041B" w:rsidRDefault="0099442C">
            <w:r>
              <w:t>✓</w:t>
            </w:r>
          </w:p>
        </w:tc>
        <w:tc>
          <w:tcPr>
            <w:tcW w:w="1320" w:type="dxa"/>
          </w:tcPr>
          <w:p w14:paraId="71649E83" w14:textId="77777777" w:rsidR="008D041B" w:rsidRDefault="0099442C">
            <w:r>
              <w:t>~</w:t>
            </w:r>
          </w:p>
        </w:tc>
        <w:tc>
          <w:tcPr>
            <w:tcW w:w="1320" w:type="dxa"/>
          </w:tcPr>
          <w:p w14:paraId="3C21ED31" w14:textId="77777777" w:rsidR="008D041B" w:rsidRPr="00977AB2" w:rsidRDefault="0099442C">
            <w:pPr>
              <w:rPr>
                <w:lang w:val="en-US"/>
              </w:rPr>
            </w:pPr>
            <w:r w:rsidRPr="00977AB2">
              <w:rPr>
                <w:lang w:val="en-US"/>
              </w:rPr>
              <w:t>Imported; merged to group gate on export</w:t>
            </w:r>
          </w:p>
        </w:tc>
      </w:tr>
    </w:tbl>
    <w:p w14:paraId="081DB314" w14:textId="77777777" w:rsidR="008D041B" w:rsidRDefault="00F065AE">
      <w:r>
        <w:rPr>
          <w:noProof/>
        </w:rPr>
        <w:pict w14:anchorId="4DDBA045">
          <v:rect id="_x0000_i1025" alt="" style="width:451.3pt;height:.05pt;mso-width-percent:0;mso-height-percent:0;mso-width-percent:0;mso-height-percent:0" o:hralign="center" o:hrstd="t" o:hr="t"/>
        </w:pict>
      </w:r>
    </w:p>
    <w:p w14:paraId="766BC294" w14:textId="77777777" w:rsidR="008D041B" w:rsidRDefault="0099442C">
      <w:pPr>
        <w:pStyle w:val="Heading2"/>
      </w:pPr>
      <w:bookmarkStart w:id="33" w:name="c.7-summary"/>
      <w:bookmarkEnd w:id="32"/>
      <w:r>
        <w:t>C.7 Summary</w:t>
      </w:r>
    </w:p>
    <w:tbl>
      <w:tblPr>
        <w:tblW w:w="5000" w:type="pct"/>
        <w:tblLayout w:type="fixed"/>
        <w:tblLook w:val="0020" w:firstRow="1" w:lastRow="0" w:firstColumn="0" w:lastColumn="0" w:noHBand="0" w:noVBand="0"/>
      </w:tblPr>
      <w:tblGrid>
        <w:gridCol w:w="2268"/>
        <w:gridCol w:w="2268"/>
        <w:gridCol w:w="2268"/>
        <w:gridCol w:w="2268"/>
      </w:tblGrid>
      <w:tr w:rsidR="008D041B" w14:paraId="77C548DC" w14:textId="77777777">
        <w:trPr>
          <w:tblHeader/>
        </w:trPr>
        <w:tc>
          <w:tcPr>
            <w:tcW w:w="1980" w:type="dxa"/>
          </w:tcPr>
          <w:p w14:paraId="1F14B070" w14:textId="77777777" w:rsidR="008D041B" w:rsidRDefault="0099442C">
            <w:r>
              <w:t>Category</w:t>
            </w:r>
          </w:p>
        </w:tc>
        <w:tc>
          <w:tcPr>
            <w:tcW w:w="1980" w:type="dxa"/>
          </w:tcPr>
          <w:p w14:paraId="77C17826" w14:textId="77777777" w:rsidR="008D041B" w:rsidRDefault="0099442C">
            <w:r>
              <w:t>Import fidelity</w:t>
            </w:r>
          </w:p>
        </w:tc>
        <w:tc>
          <w:tcPr>
            <w:tcW w:w="1980" w:type="dxa"/>
          </w:tcPr>
          <w:p w14:paraId="542B443D" w14:textId="77777777" w:rsidR="008D041B" w:rsidRDefault="0099442C">
            <w:r>
              <w:t>Export fidelity</w:t>
            </w:r>
          </w:p>
        </w:tc>
        <w:tc>
          <w:tcPr>
            <w:tcW w:w="1980" w:type="dxa"/>
          </w:tcPr>
          <w:p w14:paraId="1AE5AA5C" w14:textId="77777777" w:rsidR="008D041B" w:rsidRDefault="0099442C">
            <w:r>
              <w:t>Key limitation</w:t>
            </w:r>
          </w:p>
        </w:tc>
      </w:tr>
      <w:tr w:rsidR="008D041B" w:rsidRPr="00431A34" w14:paraId="5FE92AB1" w14:textId="77777777">
        <w:tc>
          <w:tcPr>
            <w:tcW w:w="1980" w:type="dxa"/>
          </w:tcPr>
          <w:p w14:paraId="66891E06" w14:textId="77777777" w:rsidR="008D041B" w:rsidRDefault="0099442C">
            <w:r>
              <w:t>Experiment overview</w:t>
            </w:r>
          </w:p>
        </w:tc>
        <w:tc>
          <w:tcPr>
            <w:tcW w:w="1980" w:type="dxa"/>
          </w:tcPr>
          <w:p w14:paraId="3551C0FE" w14:textId="77777777" w:rsidR="008D041B" w:rsidRDefault="0099442C">
            <w:r>
              <w:t>✗</w:t>
            </w:r>
          </w:p>
        </w:tc>
        <w:tc>
          <w:tcPr>
            <w:tcW w:w="1980" w:type="dxa"/>
          </w:tcPr>
          <w:p w14:paraId="1C65B0EF" w14:textId="77777777" w:rsidR="008D041B" w:rsidRDefault="0099442C">
            <w:r>
              <w:t>✗</w:t>
            </w:r>
          </w:p>
        </w:tc>
        <w:tc>
          <w:tcPr>
            <w:tcW w:w="1980" w:type="dxa"/>
          </w:tcPr>
          <w:p w14:paraId="04418071" w14:textId="77777777" w:rsidR="008D041B" w:rsidRPr="00977AB2" w:rsidRDefault="0099442C">
            <w:pPr>
              <w:rPr>
                <w:lang w:val="en-US"/>
              </w:rPr>
            </w:pPr>
            <w:r w:rsidRPr="00977AB2">
              <w:rPr>
                <w:lang w:val="en-US"/>
              </w:rPr>
              <w:t>Not stored in FlowJo workspaces</w:t>
            </w:r>
          </w:p>
        </w:tc>
      </w:tr>
      <w:tr w:rsidR="008D041B" w:rsidRPr="00431A34" w14:paraId="6FD88CC9" w14:textId="77777777">
        <w:tc>
          <w:tcPr>
            <w:tcW w:w="1980" w:type="dxa"/>
          </w:tcPr>
          <w:p w14:paraId="0F17B89F" w14:textId="77777777" w:rsidR="008D041B" w:rsidRDefault="0099442C">
            <w:r>
              <w:t>Sample metadata</w:t>
            </w:r>
          </w:p>
        </w:tc>
        <w:tc>
          <w:tcPr>
            <w:tcW w:w="1980" w:type="dxa"/>
          </w:tcPr>
          <w:p w14:paraId="1C1269F4" w14:textId="77777777" w:rsidR="008D041B" w:rsidRDefault="0099442C">
            <w:r>
              <w:t>~</w:t>
            </w:r>
          </w:p>
        </w:tc>
        <w:tc>
          <w:tcPr>
            <w:tcW w:w="1980" w:type="dxa"/>
          </w:tcPr>
          <w:p w14:paraId="09778658" w14:textId="77777777" w:rsidR="008D041B" w:rsidRDefault="0099442C">
            <w:r>
              <w:t>~</w:t>
            </w:r>
          </w:p>
        </w:tc>
        <w:tc>
          <w:tcPr>
            <w:tcW w:w="1980" w:type="dxa"/>
          </w:tcPr>
          <w:p w14:paraId="49698322" w14:textId="77777777" w:rsidR="008D041B" w:rsidRPr="00977AB2" w:rsidRDefault="0099442C">
            <w:pPr>
              <w:rPr>
                <w:lang w:val="en-US"/>
              </w:rPr>
            </w:pPr>
            <w:r w:rsidRPr="00977AB2">
              <w:rPr>
                <w:lang w:val="en-US"/>
              </w:rPr>
              <w:t>FCS keyword fields are preserved but not surfaced to pData by default; use keywords parameter</w:t>
            </w:r>
          </w:p>
        </w:tc>
      </w:tr>
      <w:tr w:rsidR="008D041B" w:rsidRPr="00431A34" w14:paraId="310D95E2" w14:textId="77777777">
        <w:tc>
          <w:tcPr>
            <w:tcW w:w="1980" w:type="dxa"/>
          </w:tcPr>
          <w:p w14:paraId="619DE843" w14:textId="77777777" w:rsidR="008D041B" w:rsidRDefault="0099442C">
            <w:r>
              <w:t>Reagents / staining</w:t>
            </w:r>
          </w:p>
        </w:tc>
        <w:tc>
          <w:tcPr>
            <w:tcW w:w="1980" w:type="dxa"/>
          </w:tcPr>
          <w:p w14:paraId="01E44C1A" w14:textId="77777777" w:rsidR="008D041B" w:rsidRDefault="0099442C">
            <w:r>
              <w:t>~</w:t>
            </w:r>
          </w:p>
        </w:tc>
        <w:tc>
          <w:tcPr>
            <w:tcW w:w="1980" w:type="dxa"/>
          </w:tcPr>
          <w:p w14:paraId="2E483B4B" w14:textId="77777777" w:rsidR="008D041B" w:rsidRDefault="0099442C">
            <w:r>
              <w:t>~</w:t>
            </w:r>
          </w:p>
        </w:tc>
        <w:tc>
          <w:tcPr>
            <w:tcW w:w="1980" w:type="dxa"/>
          </w:tcPr>
          <w:p w14:paraId="2417686B" w14:textId="77777777" w:rsidR="008D041B" w:rsidRPr="00977AB2" w:rsidRDefault="0099442C">
            <w:pPr>
              <w:rPr>
                <w:lang w:val="en-US"/>
              </w:rPr>
            </w:pPr>
            <w:r w:rsidRPr="00977AB2">
              <w:rPr>
                <w:lang w:val="en-US"/>
              </w:rPr>
              <w:t>$PnS (stain names) preserved; antibody details not in FCS standard</w:t>
            </w:r>
          </w:p>
        </w:tc>
      </w:tr>
      <w:tr w:rsidR="008D041B" w:rsidRPr="00431A34" w14:paraId="5D4E6965" w14:textId="77777777">
        <w:tc>
          <w:tcPr>
            <w:tcW w:w="1980" w:type="dxa"/>
          </w:tcPr>
          <w:p w14:paraId="713BBDBD" w14:textId="77777777" w:rsidR="008D041B" w:rsidRDefault="0099442C">
            <w:r>
              <w:t>Instrument</w:t>
            </w:r>
          </w:p>
        </w:tc>
        <w:tc>
          <w:tcPr>
            <w:tcW w:w="1980" w:type="dxa"/>
          </w:tcPr>
          <w:p w14:paraId="1BEAF62C" w14:textId="77777777" w:rsidR="008D041B" w:rsidRDefault="0099442C">
            <w:r>
              <w:t>~</w:t>
            </w:r>
          </w:p>
        </w:tc>
        <w:tc>
          <w:tcPr>
            <w:tcW w:w="1980" w:type="dxa"/>
          </w:tcPr>
          <w:p w14:paraId="1FF2A8DD" w14:textId="77777777" w:rsidR="008D041B" w:rsidRDefault="0099442C">
            <w:r>
              <w:t>~</w:t>
            </w:r>
          </w:p>
        </w:tc>
        <w:tc>
          <w:tcPr>
            <w:tcW w:w="1980" w:type="dxa"/>
          </w:tcPr>
          <w:p w14:paraId="3B44E693" w14:textId="77777777" w:rsidR="008D041B" w:rsidRPr="00977AB2" w:rsidRDefault="0099442C">
            <w:pPr>
              <w:rPr>
                <w:lang w:val="en-US"/>
              </w:rPr>
            </w:pPr>
            <w:r w:rsidRPr="00977AB2">
              <w:rPr>
                <w:lang w:val="en-US"/>
              </w:rPr>
              <w:t xml:space="preserve">$CYT and parameter keywords preserved in XML; </w:t>
            </w:r>
            <w:r w:rsidRPr="00977AB2">
              <w:rPr>
                <w:lang w:val="en-US"/>
              </w:rPr>
              <w:lastRenderedPageBreak/>
              <w:t>not in pData by default</w:t>
            </w:r>
          </w:p>
        </w:tc>
      </w:tr>
      <w:tr w:rsidR="008D041B" w:rsidRPr="00431A34" w14:paraId="23A616B4" w14:textId="77777777">
        <w:tc>
          <w:tcPr>
            <w:tcW w:w="1980" w:type="dxa"/>
          </w:tcPr>
          <w:p w14:paraId="242E3949" w14:textId="77777777" w:rsidR="008D041B" w:rsidRDefault="0099442C">
            <w:r>
              <w:lastRenderedPageBreak/>
              <w:t>Acquisition</w:t>
            </w:r>
          </w:p>
        </w:tc>
        <w:tc>
          <w:tcPr>
            <w:tcW w:w="1980" w:type="dxa"/>
          </w:tcPr>
          <w:p w14:paraId="1C586716" w14:textId="77777777" w:rsidR="008D041B" w:rsidRDefault="0099442C">
            <w:r>
              <w:t>✓</w:t>
            </w:r>
          </w:p>
        </w:tc>
        <w:tc>
          <w:tcPr>
            <w:tcW w:w="1980" w:type="dxa"/>
          </w:tcPr>
          <w:p w14:paraId="06776800" w14:textId="77777777" w:rsidR="008D041B" w:rsidRDefault="0099442C">
            <w:r>
              <w:t>✓</w:t>
            </w:r>
          </w:p>
        </w:tc>
        <w:tc>
          <w:tcPr>
            <w:tcW w:w="1980" w:type="dxa"/>
          </w:tcPr>
          <w:p w14:paraId="2DDD7389" w14:textId="77777777" w:rsidR="008D041B" w:rsidRPr="00977AB2" w:rsidRDefault="0099442C">
            <w:pPr>
              <w:rPr>
                <w:lang w:val="en-US"/>
              </w:rPr>
            </w:pPr>
            <w:r w:rsidRPr="00977AB2">
              <w:rPr>
                <w:lang w:val="en-US"/>
              </w:rPr>
              <w:t>Core fields ($TOT, $PAR, $PnN) always preserved</w:t>
            </w:r>
          </w:p>
        </w:tc>
      </w:tr>
      <w:tr w:rsidR="008D041B" w14:paraId="0291A6CB" w14:textId="77777777">
        <w:tc>
          <w:tcPr>
            <w:tcW w:w="1980" w:type="dxa"/>
          </w:tcPr>
          <w:p w14:paraId="35C1B941" w14:textId="77777777" w:rsidR="008D041B" w:rsidRDefault="0099442C">
            <w:r>
              <w:t>Data analysis (gates)</w:t>
            </w:r>
          </w:p>
        </w:tc>
        <w:tc>
          <w:tcPr>
            <w:tcW w:w="1980" w:type="dxa"/>
          </w:tcPr>
          <w:p w14:paraId="63ECBF7D" w14:textId="77777777" w:rsidR="008D041B" w:rsidRDefault="0099442C">
            <w:r>
              <w:t>✓</w:t>
            </w:r>
          </w:p>
        </w:tc>
        <w:tc>
          <w:tcPr>
            <w:tcW w:w="1980" w:type="dxa"/>
          </w:tcPr>
          <w:p w14:paraId="0C7B0630" w14:textId="77777777" w:rsidR="008D041B" w:rsidRDefault="0099442C">
            <w:r>
              <w:t>✓</w:t>
            </w:r>
          </w:p>
        </w:tc>
        <w:tc>
          <w:tcPr>
            <w:tcW w:w="1980" w:type="dxa"/>
          </w:tcPr>
          <w:p w14:paraId="66A928DD" w14:textId="77777777" w:rsidR="008D041B" w:rsidRDefault="0099442C">
            <w:r>
              <w:t>Complete: hierarchy, coordinates, types, transforms</w:t>
            </w:r>
          </w:p>
        </w:tc>
      </w:tr>
      <w:tr w:rsidR="008D041B" w:rsidRPr="00431A34" w14:paraId="7A76EAC9" w14:textId="77777777">
        <w:tc>
          <w:tcPr>
            <w:tcW w:w="1980" w:type="dxa"/>
          </w:tcPr>
          <w:p w14:paraId="28B85A91" w14:textId="77777777" w:rsidR="008D041B" w:rsidRDefault="0099442C">
            <w:r>
              <w:t>Compensation</w:t>
            </w:r>
          </w:p>
        </w:tc>
        <w:tc>
          <w:tcPr>
            <w:tcW w:w="1980" w:type="dxa"/>
          </w:tcPr>
          <w:p w14:paraId="43773595" w14:textId="77777777" w:rsidR="008D041B" w:rsidRDefault="0099442C">
            <w:r>
              <w:t>✓</w:t>
            </w:r>
          </w:p>
        </w:tc>
        <w:tc>
          <w:tcPr>
            <w:tcW w:w="1980" w:type="dxa"/>
          </w:tcPr>
          <w:p w14:paraId="4F4F7BDB" w14:textId="77777777" w:rsidR="008D041B" w:rsidRDefault="0099442C">
            <w:r>
              <w:t>✓</w:t>
            </w:r>
          </w:p>
        </w:tc>
        <w:tc>
          <w:tcPr>
            <w:tcW w:w="1980" w:type="dxa"/>
          </w:tcPr>
          <w:p w14:paraId="374F5B86" w14:textId="77777777" w:rsidR="008D041B" w:rsidRPr="00977AB2" w:rsidRDefault="0099442C">
            <w:pPr>
              <w:rPr>
                <w:lang w:val="en-US"/>
              </w:rPr>
            </w:pPr>
            <w:r w:rsidRPr="00977AB2">
              <w:rPr>
                <w:lang w:val="en-US"/>
              </w:rPr>
              <w:t>Full matrix from multiple extraction paths</w:t>
            </w:r>
          </w:p>
        </w:tc>
      </w:tr>
      <w:tr w:rsidR="008D041B" w:rsidRPr="00431A34" w14:paraId="013AFE87" w14:textId="77777777">
        <w:tc>
          <w:tcPr>
            <w:tcW w:w="1980" w:type="dxa"/>
          </w:tcPr>
          <w:p w14:paraId="3F1A0952" w14:textId="77777777" w:rsidR="008D041B" w:rsidRDefault="0099442C">
            <w:r>
              <w:t>Software provenance</w:t>
            </w:r>
          </w:p>
        </w:tc>
        <w:tc>
          <w:tcPr>
            <w:tcW w:w="1980" w:type="dxa"/>
          </w:tcPr>
          <w:p w14:paraId="64E462A2" w14:textId="77777777" w:rsidR="008D041B" w:rsidRDefault="0099442C">
            <w:r>
              <w:t>~</w:t>
            </w:r>
          </w:p>
        </w:tc>
        <w:tc>
          <w:tcPr>
            <w:tcW w:w="1980" w:type="dxa"/>
          </w:tcPr>
          <w:p w14:paraId="28A8C482" w14:textId="77777777" w:rsidR="008D041B" w:rsidRDefault="0099442C">
            <w:r>
              <w:t>✗</w:t>
            </w:r>
          </w:p>
        </w:tc>
        <w:tc>
          <w:tcPr>
            <w:tcW w:w="1980" w:type="dxa"/>
          </w:tcPr>
          <w:p w14:paraId="6D877907" w14:textId="77777777" w:rsidR="008D041B" w:rsidRPr="00977AB2" w:rsidRDefault="0099442C">
            <w:pPr>
              <w:rPr>
                <w:lang w:val="en-US"/>
              </w:rPr>
            </w:pPr>
            <w:r w:rsidRPr="00977AB2">
              <w:rPr>
                <w:lang w:val="en-US"/>
              </w:rPr>
              <w:t>FlowJo version available in v11 JSON; not written to v10 XML</w:t>
            </w:r>
          </w:p>
        </w:tc>
      </w:tr>
    </w:tbl>
    <w:p w14:paraId="4F43339E" w14:textId="77777777" w:rsidR="008D041B" w:rsidRPr="00977AB2" w:rsidRDefault="0099442C">
      <w:pPr>
        <w:rPr>
          <w:lang w:val="en-US"/>
        </w:rPr>
      </w:pPr>
      <w:r w:rsidRPr="00977AB2">
        <w:rPr>
          <w:b/>
          <w:bCs/>
          <w:lang w:val="en-US"/>
        </w:rPr>
        <w:t>Overall assessment:</w:t>
      </w:r>
      <w:r w:rsidRPr="00977AB2">
        <w:rPr>
          <w:lang w:val="en-US"/>
        </w:rPr>
        <w:t xml:space="preserve"> CyFj11 fully preserves the MIFlowCyt fields that are within the scope of a gating workspace tool — gate definitions, transformations, compensation matrices, and FCS keyword data. </w:t>
      </w:r>
      <w:bookmarkEnd w:id="26"/>
      <w:bookmarkEnd w:id="33"/>
    </w:p>
    <w:sectPr w:rsidR="008D041B" w:rsidRPr="00977AB2" w:rsidSect="00C9182A">
      <w:headerReference w:type="default" r:id="rId14"/>
      <w:footerReference w:type="default" r:id="rId15"/>
      <w:pgSz w:w="11906" w:h="16838"/>
      <w:pgMar w:top="1560" w:right="1417" w:bottom="113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ED5F92" w14:textId="77777777" w:rsidR="00F065AE" w:rsidRDefault="00F065AE">
      <w:r>
        <w:separator/>
      </w:r>
    </w:p>
  </w:endnote>
  <w:endnote w:type="continuationSeparator" w:id="0">
    <w:p w14:paraId="6BAB1E3C" w14:textId="77777777" w:rsidR="00F065AE" w:rsidRDefault="00F0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794701"/>
      <w:docPartObj>
        <w:docPartGallery w:val="Page Numbers (Bottom of Page)"/>
        <w:docPartUnique/>
      </w:docPartObj>
    </w:sdtPr>
    <w:sdtEndPr>
      <w:rPr>
        <w:sz w:val="20"/>
      </w:rPr>
    </w:sdtEndPr>
    <w:sdtContent>
      <w:sdt>
        <w:sdtPr>
          <w:id w:val="-1276322806"/>
          <w:docPartObj>
            <w:docPartGallery w:val="Page Numbers (Top of Page)"/>
            <w:docPartUnique/>
          </w:docPartObj>
        </w:sdtPr>
        <w:sdtEndPr>
          <w:rPr>
            <w:sz w:val="20"/>
          </w:rPr>
        </w:sdtEndPr>
        <w:sdtContent>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513"/>
              <w:gridCol w:w="2552"/>
            </w:tblGrid>
            <w:tr w:rsidR="00C9182A" w14:paraId="3CBD937C" w14:textId="77777777" w:rsidTr="00285D3E">
              <w:tc>
                <w:tcPr>
                  <w:tcW w:w="709" w:type="dxa"/>
                  <w:tcBorders>
                    <w:top w:val="single" w:sz="4" w:space="0" w:color="auto"/>
                  </w:tcBorders>
                  <w:vAlign w:val="center"/>
                </w:tcPr>
                <w:p w14:paraId="3AE14509" w14:textId="77777777" w:rsidR="00C9182A" w:rsidRDefault="00C9182A" w:rsidP="00C9182A">
                  <w:r w:rsidRPr="009715F3">
                    <w:rPr>
                      <w:noProof/>
                    </w:rPr>
                    <w:drawing>
                      <wp:inline distT="0" distB="0" distL="0" distR="0" wp14:anchorId="0DA2DAFD" wp14:editId="3BB7C80B">
                        <wp:extent cx="247650" cy="2476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7513" w:type="dxa"/>
                  <w:tcBorders>
                    <w:top w:val="single" w:sz="4" w:space="0" w:color="auto"/>
                  </w:tcBorders>
                  <w:vAlign w:val="bottom"/>
                </w:tcPr>
                <w:p w14:paraId="6F224D52" w14:textId="77777777" w:rsidR="00C9182A" w:rsidRPr="00C9135D" w:rsidRDefault="00C9182A" w:rsidP="00285D3E">
                  <w:pPr>
                    <w:pStyle w:val="garantiejour"/>
                  </w:pPr>
                  <w:r w:rsidRPr="00C9135D">
                    <w:t>La version garantie à jour de ce document est en ligne sur Webcampus</w:t>
                  </w:r>
                </w:p>
              </w:tc>
              <w:tc>
                <w:tcPr>
                  <w:tcW w:w="2552" w:type="dxa"/>
                  <w:tcBorders>
                    <w:top w:val="single" w:sz="4" w:space="0" w:color="auto"/>
                  </w:tcBorders>
                  <w:vAlign w:val="bottom"/>
                </w:tcPr>
                <w:p w14:paraId="11FD47F1" w14:textId="77777777" w:rsidR="00C9182A" w:rsidRPr="00C9182A" w:rsidRDefault="00C9182A" w:rsidP="00C9182A">
                  <w:pPr>
                    <w:pStyle w:val="Footer"/>
                    <w:jc w:val="center"/>
                    <w:rPr>
                      <w:bCs/>
                      <w:sz w:val="20"/>
                    </w:rPr>
                  </w:pPr>
                  <w:r w:rsidRPr="00C9182A">
                    <w:rPr>
                      <w:sz w:val="20"/>
                    </w:rPr>
                    <w:t xml:space="preserve">Page </w:t>
                  </w:r>
                  <w:r w:rsidRPr="00C9182A">
                    <w:rPr>
                      <w:bCs/>
                      <w:sz w:val="20"/>
                    </w:rPr>
                    <w:fldChar w:fldCharType="begin"/>
                  </w:r>
                  <w:r w:rsidRPr="00C9182A">
                    <w:rPr>
                      <w:bCs/>
                      <w:sz w:val="20"/>
                    </w:rPr>
                    <w:instrText>PAGE</w:instrText>
                  </w:r>
                  <w:r w:rsidRPr="00C9182A">
                    <w:rPr>
                      <w:bCs/>
                      <w:sz w:val="20"/>
                    </w:rPr>
                    <w:fldChar w:fldCharType="separate"/>
                  </w:r>
                  <w:r w:rsidR="00FB7A12">
                    <w:rPr>
                      <w:bCs/>
                      <w:noProof/>
                      <w:sz w:val="20"/>
                    </w:rPr>
                    <w:t>1</w:t>
                  </w:r>
                  <w:r w:rsidRPr="00C9182A">
                    <w:rPr>
                      <w:bCs/>
                      <w:sz w:val="20"/>
                    </w:rPr>
                    <w:fldChar w:fldCharType="end"/>
                  </w:r>
                  <w:r w:rsidRPr="00C9182A">
                    <w:rPr>
                      <w:sz w:val="20"/>
                    </w:rPr>
                    <w:t xml:space="preserve"> sur </w:t>
                  </w:r>
                  <w:r w:rsidRPr="00C9182A">
                    <w:rPr>
                      <w:bCs/>
                      <w:sz w:val="20"/>
                    </w:rPr>
                    <w:fldChar w:fldCharType="begin"/>
                  </w:r>
                  <w:r w:rsidRPr="00C9182A">
                    <w:rPr>
                      <w:bCs/>
                      <w:sz w:val="20"/>
                    </w:rPr>
                    <w:instrText>NUMPAGES</w:instrText>
                  </w:r>
                  <w:r w:rsidRPr="00C9182A">
                    <w:rPr>
                      <w:bCs/>
                      <w:sz w:val="20"/>
                    </w:rPr>
                    <w:fldChar w:fldCharType="separate"/>
                  </w:r>
                  <w:r w:rsidR="00FB7A12">
                    <w:rPr>
                      <w:bCs/>
                      <w:noProof/>
                      <w:sz w:val="20"/>
                    </w:rPr>
                    <w:t>1</w:t>
                  </w:r>
                  <w:r w:rsidRPr="00C9182A">
                    <w:rPr>
                      <w:bCs/>
                      <w:sz w:val="20"/>
                    </w:rPr>
                    <w:fldChar w:fldCharType="end"/>
                  </w:r>
                </w:p>
              </w:tc>
            </w:tr>
            <w:tr w:rsidR="00C9182A" w14:paraId="39A79959" w14:textId="77777777" w:rsidTr="00C9182A">
              <w:tc>
                <w:tcPr>
                  <w:tcW w:w="709" w:type="dxa"/>
                  <w:vAlign w:val="center"/>
                </w:tcPr>
                <w:p w14:paraId="4FCFD8F5" w14:textId="77777777" w:rsidR="00C9182A" w:rsidRDefault="00C9182A" w:rsidP="00C9182A">
                  <w:pPr>
                    <w:pStyle w:val="Footer"/>
                  </w:pPr>
                </w:p>
              </w:tc>
              <w:tc>
                <w:tcPr>
                  <w:tcW w:w="7513" w:type="dxa"/>
                  <w:vAlign w:val="center"/>
                </w:tcPr>
                <w:p w14:paraId="73C311D5" w14:textId="77777777" w:rsidR="00C9182A" w:rsidRPr="00C9135D" w:rsidRDefault="00C9182A" w:rsidP="00C9182A">
                  <w:pPr>
                    <w:pStyle w:val="diffusioninterdite"/>
                  </w:pPr>
                  <w:r w:rsidRPr="00C9135D">
                    <w:t>Ce document est à l’usage exclusif de l’Institut Pasteur – Reproduction &amp; diffusion interdite</w:t>
                  </w:r>
                  <w:r>
                    <w:t xml:space="preserve"> </w:t>
                  </w:r>
                </w:p>
              </w:tc>
              <w:tc>
                <w:tcPr>
                  <w:tcW w:w="2552" w:type="dxa"/>
                </w:tcPr>
                <w:p w14:paraId="1D9008A0" w14:textId="7DBE3164" w:rsidR="00C9182A" w:rsidRDefault="00C9182A" w:rsidP="00C9182A">
                  <w:pPr>
                    <w:pStyle w:val="Footer"/>
                    <w:jc w:val="right"/>
                    <w:rPr>
                      <w:sz w:val="20"/>
                    </w:rPr>
                  </w:pPr>
                  <w:r w:rsidRPr="00C9182A">
                    <w:rPr>
                      <w:bCs/>
                      <w:sz w:val="16"/>
                      <w:szCs w:val="24"/>
                    </w:rPr>
                    <w:t xml:space="preserve">Date d’impression </w:t>
                  </w:r>
                  <w:r w:rsidRPr="00C9182A">
                    <w:rPr>
                      <w:bCs/>
                      <w:sz w:val="16"/>
                      <w:szCs w:val="24"/>
                    </w:rPr>
                    <w:fldChar w:fldCharType="begin"/>
                  </w:r>
                  <w:r w:rsidRPr="00C9182A">
                    <w:rPr>
                      <w:bCs/>
                      <w:sz w:val="16"/>
                      <w:szCs w:val="24"/>
                    </w:rPr>
                    <w:instrText xml:space="preserve"> TIME \@ "d MMMM yyyy" </w:instrText>
                  </w:r>
                  <w:r w:rsidRPr="00C9182A">
                    <w:rPr>
                      <w:bCs/>
                      <w:sz w:val="16"/>
                      <w:szCs w:val="24"/>
                    </w:rPr>
                    <w:fldChar w:fldCharType="separate"/>
                  </w:r>
                  <w:r w:rsidR="00431A34">
                    <w:rPr>
                      <w:bCs/>
                      <w:noProof/>
                      <w:sz w:val="16"/>
                      <w:szCs w:val="24"/>
                    </w:rPr>
                    <w:t>4 juillet 2026</w:t>
                  </w:r>
                  <w:r w:rsidRPr="00C9182A">
                    <w:rPr>
                      <w:bCs/>
                      <w:sz w:val="16"/>
                      <w:szCs w:val="24"/>
                    </w:rPr>
                    <w:fldChar w:fldCharType="end"/>
                  </w:r>
                </w:p>
              </w:tc>
            </w:tr>
          </w:tbl>
          <w:p w14:paraId="6DB2C026" w14:textId="77777777" w:rsidR="000225EC" w:rsidRPr="00795C80" w:rsidRDefault="00000000" w:rsidP="000225EC">
            <w:pPr>
              <w:pStyle w:val="Footer"/>
              <w:jc w:val="right"/>
              <w:rPr>
                <w:sz w:val="2"/>
                <w:szCs w:val="2"/>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6C7F43" w14:textId="77777777" w:rsidR="00F065AE" w:rsidRDefault="00F065AE">
      <w:r>
        <w:separator/>
      </w:r>
    </w:p>
  </w:footnote>
  <w:footnote w:type="continuationSeparator" w:id="0">
    <w:p w14:paraId="46FC88C5" w14:textId="77777777" w:rsidR="00F065AE" w:rsidRDefault="00F06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pPr w:leftFromText="141" w:rightFromText="141" w:horzAnchor="page" w:tblpX="265" w:tblpY="-1260"/>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378"/>
      <w:gridCol w:w="2127"/>
    </w:tblGrid>
    <w:tr w:rsidR="000225EC" w:rsidRPr="00FB03DE" w14:paraId="65D7E963" w14:textId="77777777" w:rsidTr="00FB7A12">
      <w:trPr>
        <w:trHeight w:val="329"/>
      </w:trPr>
      <w:tc>
        <w:tcPr>
          <w:tcW w:w="2694" w:type="dxa"/>
          <w:vMerge w:val="restart"/>
          <w:tcBorders>
            <w:top w:val="nil"/>
            <w:left w:val="nil"/>
            <w:bottom w:val="nil"/>
            <w:right w:val="nil"/>
          </w:tcBorders>
          <w:vAlign w:val="bottom"/>
        </w:tcPr>
        <w:p w14:paraId="503BEA13" w14:textId="77777777" w:rsidR="000225EC" w:rsidRPr="00FB03DE" w:rsidRDefault="000225EC" w:rsidP="00FB7A12">
          <w:pPr>
            <w:jc w:val="center"/>
          </w:pPr>
          <w:r w:rsidRPr="005956EC">
            <w:rPr>
              <w:rFonts w:eastAsia="Calibri"/>
              <w:noProof/>
              <w:szCs w:val="22"/>
            </w:rPr>
            <w:drawing>
              <wp:inline distT="0" distB="0" distL="0" distR="0" wp14:anchorId="31873A90" wp14:editId="2BDE63AE">
                <wp:extent cx="1314450" cy="4381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hdaconce.ALBIZIA-HSQE\Pictures\IP\LOGO_IP_pt.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14450" cy="438150"/>
                        </a:xfrm>
                        <a:prstGeom prst="rect">
                          <a:avLst/>
                        </a:prstGeom>
                        <a:noFill/>
                        <a:ln>
                          <a:noFill/>
                        </a:ln>
                      </pic:spPr>
                    </pic:pic>
                  </a:graphicData>
                </a:graphic>
              </wp:inline>
            </w:drawing>
          </w:r>
        </w:p>
      </w:tc>
      <w:tc>
        <w:tcPr>
          <w:tcW w:w="6378" w:type="dxa"/>
          <w:tcBorders>
            <w:top w:val="nil"/>
            <w:left w:val="nil"/>
            <w:right w:val="nil"/>
          </w:tcBorders>
        </w:tcPr>
        <w:p w14:paraId="258FC2E8" w14:textId="77777777" w:rsidR="000225EC" w:rsidRPr="00FB03DE" w:rsidRDefault="000225EC" w:rsidP="000225EC">
          <w:pPr>
            <w:ind w:right="460"/>
          </w:pPr>
        </w:p>
      </w:tc>
      <w:tc>
        <w:tcPr>
          <w:tcW w:w="2127" w:type="dxa"/>
          <w:tcBorders>
            <w:top w:val="nil"/>
            <w:left w:val="nil"/>
            <w:right w:val="nil"/>
          </w:tcBorders>
        </w:tcPr>
        <w:p w14:paraId="1734F641" w14:textId="77777777" w:rsidR="000225EC" w:rsidRPr="00FB03DE" w:rsidRDefault="000225EC" w:rsidP="000225EC"/>
      </w:tc>
    </w:tr>
    <w:tr w:rsidR="000225EC" w:rsidRPr="00AE4CA5" w14:paraId="46BDEBFE" w14:textId="77777777" w:rsidTr="002548BC">
      <w:trPr>
        <w:trHeight w:val="320"/>
      </w:trPr>
      <w:tc>
        <w:tcPr>
          <w:tcW w:w="2694" w:type="dxa"/>
          <w:vMerge/>
          <w:tcBorders>
            <w:top w:val="nil"/>
            <w:left w:val="nil"/>
            <w:bottom w:val="nil"/>
          </w:tcBorders>
        </w:tcPr>
        <w:p w14:paraId="272169A3" w14:textId="77777777" w:rsidR="000225EC" w:rsidRDefault="000225EC" w:rsidP="000225EC"/>
      </w:tc>
      <w:tc>
        <w:tcPr>
          <w:tcW w:w="6378" w:type="dxa"/>
          <w:vAlign w:val="center"/>
        </w:tcPr>
        <w:sdt>
          <w:sdtPr>
            <w:alias w:val="Type de document"/>
            <w:tag w:val="Type de document"/>
            <w:id w:val="-852960543"/>
            <w:comboBox>
              <w:listItem w:value="Choisissez un élément."/>
              <w:listItem w:displayText="Politique" w:value="Politique"/>
              <w:listItem w:displayText="Manuel Qualité" w:value="Manuel Qualité"/>
              <w:listItem w:displayText="Fiche Processus" w:value="Fiche Processus"/>
              <w:listItem w:displayText="Guide" w:value="Guide"/>
              <w:listItem w:displayText="Procédure" w:value="Procédure"/>
              <w:listItem w:displayText="Mode Opératoire" w:value="Mode Opératoire"/>
              <w:listItem w:displayText="Consignes de sécurité" w:value="Consignes de sécurité"/>
              <w:listItem w:displayText="Protocole" w:value="Protocole"/>
              <w:listItem w:displayText="Support d'enregistrement" w:value="Support d'enregistrement"/>
              <w:listItem w:displayText="Organigramme" w:value="Organigramme"/>
              <w:listItem w:displayText="Plan" w:value="Plan"/>
              <w:listItem w:displayText="Planning" w:value="Planning"/>
              <w:listItem w:displayText="Inventaire" w:value="Inventaire"/>
              <w:listItem w:displayText="Note de synthèse" w:value="Note de synthèse"/>
              <w:listItem w:displayText="Charte d'interface" w:value="Charte d'interface"/>
            </w:comboBox>
          </w:sdtPr>
          <w:sdtContent>
            <w:p w14:paraId="47DE508E" w14:textId="77777777" w:rsidR="000225EC" w:rsidRDefault="00990510" w:rsidP="000225EC">
              <w:pPr>
                <w:pStyle w:val="TypeetVersion"/>
              </w:pPr>
              <w:r>
                <w:t>Support d'enregistrement</w:t>
              </w:r>
            </w:p>
          </w:sdtContent>
        </w:sdt>
      </w:tc>
      <w:tc>
        <w:tcPr>
          <w:tcW w:w="2127" w:type="dxa"/>
          <w:vAlign w:val="center"/>
        </w:tcPr>
        <w:p w14:paraId="36C53639" w14:textId="77777777" w:rsidR="000225EC" w:rsidRPr="00AE4CA5" w:rsidRDefault="000225EC" w:rsidP="000225EC">
          <w:pPr>
            <w:pStyle w:val="TypeetVersion"/>
          </w:pPr>
          <w:r w:rsidRPr="00AE4CA5">
            <w:t>Version</w:t>
          </w:r>
        </w:p>
      </w:tc>
    </w:tr>
    <w:tr w:rsidR="000225EC" w14:paraId="40DD7CED" w14:textId="77777777" w:rsidTr="002548BC">
      <w:trPr>
        <w:trHeight w:val="324"/>
      </w:trPr>
      <w:tc>
        <w:tcPr>
          <w:tcW w:w="2694" w:type="dxa"/>
          <w:tcBorders>
            <w:top w:val="nil"/>
            <w:left w:val="nil"/>
            <w:bottom w:val="nil"/>
          </w:tcBorders>
          <w:vAlign w:val="center"/>
        </w:tcPr>
        <w:sdt>
          <w:sdtPr>
            <w:alias w:val="Titre du document"/>
            <w:tag w:val="Titre du document"/>
            <w:id w:val="1333951588"/>
          </w:sdtPr>
          <w:sdtContent>
            <w:p w14:paraId="7F134D74" w14:textId="77777777" w:rsidR="000225EC" w:rsidRPr="000A3638" w:rsidRDefault="000A3638" w:rsidP="000A3638">
              <w:pPr>
                <w:pStyle w:val="Entiteemettrice"/>
              </w:pPr>
              <w:r>
                <w:t xml:space="preserve"> </w:t>
              </w:r>
              <w:sdt>
                <w:sdtPr>
                  <w:alias w:val="Titre du document"/>
                  <w:tag w:val="Titre du document"/>
                  <w:id w:val="1176691391"/>
                </w:sdtPr>
                <w:sdtContent>
                  <w:r w:rsidR="00085DE3">
                    <w:t>scBiomarker</w:t>
                  </w:r>
                  <w:r>
                    <w:t>B UTechS</w:t>
                  </w:r>
                </w:sdtContent>
              </w:sdt>
            </w:p>
          </w:sdtContent>
        </w:sdt>
      </w:tc>
      <w:tc>
        <w:tcPr>
          <w:tcW w:w="6378" w:type="dxa"/>
          <w:vAlign w:val="center"/>
        </w:tcPr>
        <w:sdt>
          <w:sdtPr>
            <w:rPr>
              <w:rStyle w:val="PlaceholderText"/>
              <w:color w:val="000000" w:themeColor="text1"/>
            </w:rPr>
            <w:alias w:val="Titre du document"/>
            <w:tag w:val="Titre du document"/>
            <w:id w:val="1576937792"/>
            <w:lock w:val="sdtLocked"/>
            <w:docPartList>
              <w:docPartGallery w:val="Quick Parts"/>
            </w:docPartList>
          </w:sdtPr>
          <w:sdtContent>
            <w:p w14:paraId="228F67B5" w14:textId="77777777" w:rsidR="000225EC" w:rsidRPr="002548BC" w:rsidRDefault="002548BC" w:rsidP="002548BC">
              <w:pPr>
                <w:pStyle w:val="Titredudocument"/>
                <w:rPr>
                  <w:color w:val="000000" w:themeColor="text1"/>
                </w:rPr>
              </w:pPr>
              <w:r>
                <w:t xml:space="preserve"> </w:t>
              </w:r>
              <w:sdt>
                <w:sdtPr>
                  <w:alias w:val="Titre du document"/>
                  <w:tag w:val="Titre du document"/>
                  <w:id w:val="-1129321394"/>
                </w:sdtPr>
                <w:sdtContent>
                  <w:r w:rsidR="00990510" w:rsidRPr="00990510">
                    <w:rPr>
                      <w:b w:val="0"/>
                      <w:smallCaps w:val="0"/>
                    </w:rPr>
                    <w:t xml:space="preserve"> </w:t>
                  </w:r>
                  <w:sdt>
                    <w:sdtPr>
                      <w:rPr>
                        <w:b w:val="0"/>
                        <w:smallCaps w:val="0"/>
                      </w:rPr>
                      <w:alias w:val="Titre du document"/>
                      <w:tag w:val="Titre du document"/>
                      <w:id w:val="-1145736350"/>
                    </w:sdtPr>
                    <w:sdtContent>
                      <w:r w:rsidR="00990510" w:rsidRPr="00990510">
                        <w:rPr>
                          <w:b w:val="0"/>
                          <w:smallCaps w:val="0"/>
                        </w:rPr>
                        <w:t>Fiche Projet activités de recherche et développement technologique et méthodologique</w:t>
                      </w:r>
                    </w:sdtContent>
                  </w:sdt>
                  <w:r w:rsidR="00990510">
                    <w:t xml:space="preserve"> </w:t>
                  </w:r>
                </w:sdtContent>
              </w:sdt>
            </w:p>
          </w:sdtContent>
        </w:sdt>
      </w:tc>
      <w:sdt>
        <w:sdtPr>
          <w:alias w:val="Indiquer la version"/>
          <w:tag w:val="Indiquer la version"/>
          <w:id w:val="-584994529"/>
          <w:comboBox>
            <w:listItem w:value="Choisissez un élémen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V" w:value="V"/>
            <w:listItem w:displayText="W" w:value="W"/>
            <w:listItem w:displayText="X" w:value="X"/>
            <w:listItem w:displayText="Z" w:value="Z"/>
          </w:comboBox>
        </w:sdtPr>
        <w:sdtContent>
          <w:tc>
            <w:tcPr>
              <w:tcW w:w="2127" w:type="dxa"/>
              <w:vAlign w:val="center"/>
            </w:tcPr>
            <w:p w14:paraId="728A5B4D" w14:textId="77777777" w:rsidR="000225EC" w:rsidRPr="00754411" w:rsidRDefault="008D52FF" w:rsidP="000225EC">
              <w:pPr>
                <w:pStyle w:val="TypeetVersion"/>
                <w:ind w:left="176"/>
              </w:pPr>
              <w:r>
                <w:t>A</w:t>
              </w:r>
            </w:p>
          </w:tc>
        </w:sdtContent>
      </w:sdt>
    </w:tr>
  </w:tbl>
  <w:p w14:paraId="0C0E75C7" w14:textId="77777777" w:rsidR="000225EC" w:rsidRDefault="00022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E5EFC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9E6A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21540"/>
    <w:multiLevelType w:val="multilevel"/>
    <w:tmpl w:val="D4E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F03D1"/>
    <w:multiLevelType w:val="multilevel"/>
    <w:tmpl w:val="32E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D03CD"/>
    <w:multiLevelType w:val="multilevel"/>
    <w:tmpl w:val="E9A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411AC"/>
    <w:multiLevelType w:val="multilevel"/>
    <w:tmpl w:val="80E680FC"/>
    <w:lvl w:ilvl="0">
      <w:start w:val="1"/>
      <w:numFmt w:val="decimal"/>
      <w:pStyle w:val="Heading1"/>
      <w:lvlText w:val="%1."/>
      <w:lvlJc w:val="left"/>
      <w:pPr>
        <w:ind w:left="360" w:hanging="360"/>
      </w:pPr>
    </w:lvl>
    <w:lvl w:ilvl="1">
      <w:start w:val="1"/>
      <w:numFmt w:val="decimal"/>
      <w:pStyle w:val="Heading2"/>
      <w:lvlText w:val="%1.%2."/>
      <w:lvlJc w:val="left"/>
      <w:pPr>
        <w:ind w:left="6670"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9D3246B"/>
    <w:multiLevelType w:val="multilevel"/>
    <w:tmpl w:val="AEF8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338885">
    <w:abstractNumId w:val="5"/>
  </w:num>
  <w:num w:numId="2" w16cid:durableId="1565219899">
    <w:abstractNumId w:val="0"/>
  </w:num>
  <w:num w:numId="3" w16cid:durableId="1768229543">
    <w:abstractNumId w:val="1"/>
  </w:num>
  <w:num w:numId="4" w16cid:durableId="688435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0289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0165834">
    <w:abstractNumId w:val="6"/>
  </w:num>
  <w:num w:numId="7" w16cid:durableId="886912711">
    <w:abstractNumId w:val="2"/>
  </w:num>
  <w:num w:numId="8" w16cid:durableId="1580867860">
    <w:abstractNumId w:val="3"/>
  </w:num>
  <w:num w:numId="9" w16cid:durableId="929237226">
    <w:abstractNumId w:val="4"/>
  </w:num>
  <w:num w:numId="10" w16cid:durableId="371537287">
    <w:abstractNumId w:val="5"/>
    <w:lvlOverride w:ilvl="0">
      <w:startOverride w:val="3"/>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EC"/>
    <w:rsid w:val="000048C0"/>
    <w:rsid w:val="000225EC"/>
    <w:rsid w:val="000703BB"/>
    <w:rsid w:val="00085DE3"/>
    <w:rsid w:val="00086105"/>
    <w:rsid w:val="000913DE"/>
    <w:rsid w:val="00091FD4"/>
    <w:rsid w:val="000950D1"/>
    <w:rsid w:val="000977EA"/>
    <w:rsid w:val="000A3638"/>
    <w:rsid w:val="000A4ADE"/>
    <w:rsid w:val="000C2A9A"/>
    <w:rsid w:val="000C7AFF"/>
    <w:rsid w:val="001022C6"/>
    <w:rsid w:val="001133F8"/>
    <w:rsid w:val="0013453D"/>
    <w:rsid w:val="00135677"/>
    <w:rsid w:val="00175C38"/>
    <w:rsid w:val="001B47E7"/>
    <w:rsid w:val="001F2645"/>
    <w:rsid w:val="001F4201"/>
    <w:rsid w:val="00206FCD"/>
    <w:rsid w:val="00225E03"/>
    <w:rsid w:val="002533BF"/>
    <w:rsid w:val="002548BC"/>
    <w:rsid w:val="00255DEF"/>
    <w:rsid w:val="002720EA"/>
    <w:rsid w:val="002721D8"/>
    <w:rsid w:val="002774F6"/>
    <w:rsid w:val="00282A4E"/>
    <w:rsid w:val="00285D3E"/>
    <w:rsid w:val="002A50CC"/>
    <w:rsid w:val="002C37D2"/>
    <w:rsid w:val="002D16BD"/>
    <w:rsid w:val="002E352B"/>
    <w:rsid w:val="002E5ED2"/>
    <w:rsid w:val="00331BE8"/>
    <w:rsid w:val="003623ED"/>
    <w:rsid w:val="003736AA"/>
    <w:rsid w:val="00374CCF"/>
    <w:rsid w:val="00386189"/>
    <w:rsid w:val="003A59CD"/>
    <w:rsid w:val="003B566E"/>
    <w:rsid w:val="003C2EC0"/>
    <w:rsid w:val="003F39C1"/>
    <w:rsid w:val="003F644E"/>
    <w:rsid w:val="00403210"/>
    <w:rsid w:val="00414760"/>
    <w:rsid w:val="00431A34"/>
    <w:rsid w:val="00440459"/>
    <w:rsid w:val="00447598"/>
    <w:rsid w:val="00450D6C"/>
    <w:rsid w:val="00482E5F"/>
    <w:rsid w:val="00487962"/>
    <w:rsid w:val="004C2B52"/>
    <w:rsid w:val="004D0A6B"/>
    <w:rsid w:val="00513B4B"/>
    <w:rsid w:val="005320D4"/>
    <w:rsid w:val="0058437D"/>
    <w:rsid w:val="005D3FA4"/>
    <w:rsid w:val="00612471"/>
    <w:rsid w:val="00617F32"/>
    <w:rsid w:val="0064337E"/>
    <w:rsid w:val="006468E6"/>
    <w:rsid w:val="00684CBC"/>
    <w:rsid w:val="0068569D"/>
    <w:rsid w:val="006A334F"/>
    <w:rsid w:val="006E6097"/>
    <w:rsid w:val="007128D5"/>
    <w:rsid w:val="00744000"/>
    <w:rsid w:val="007515B7"/>
    <w:rsid w:val="00793398"/>
    <w:rsid w:val="00795C80"/>
    <w:rsid w:val="007D7B00"/>
    <w:rsid w:val="007E109E"/>
    <w:rsid w:val="0080169A"/>
    <w:rsid w:val="008145A8"/>
    <w:rsid w:val="0081532D"/>
    <w:rsid w:val="0082567A"/>
    <w:rsid w:val="008349E0"/>
    <w:rsid w:val="0084592F"/>
    <w:rsid w:val="00856340"/>
    <w:rsid w:val="0088561F"/>
    <w:rsid w:val="008924F5"/>
    <w:rsid w:val="008D041B"/>
    <w:rsid w:val="008D4A9E"/>
    <w:rsid w:val="008D52FF"/>
    <w:rsid w:val="008E7EA5"/>
    <w:rsid w:val="00903508"/>
    <w:rsid w:val="00905884"/>
    <w:rsid w:val="00922B8F"/>
    <w:rsid w:val="0092728B"/>
    <w:rsid w:val="0096507C"/>
    <w:rsid w:val="00974114"/>
    <w:rsid w:val="00977AB2"/>
    <w:rsid w:val="00981FA9"/>
    <w:rsid w:val="00990510"/>
    <w:rsid w:val="0099442C"/>
    <w:rsid w:val="009F1828"/>
    <w:rsid w:val="009F3EF7"/>
    <w:rsid w:val="00A4189D"/>
    <w:rsid w:val="00A4531F"/>
    <w:rsid w:val="00A51DD5"/>
    <w:rsid w:val="00A6402D"/>
    <w:rsid w:val="00A87738"/>
    <w:rsid w:val="00AE234B"/>
    <w:rsid w:val="00B5719F"/>
    <w:rsid w:val="00B86188"/>
    <w:rsid w:val="00B91921"/>
    <w:rsid w:val="00C035D4"/>
    <w:rsid w:val="00C04EB6"/>
    <w:rsid w:val="00C22ECE"/>
    <w:rsid w:val="00C23E78"/>
    <w:rsid w:val="00C31C4E"/>
    <w:rsid w:val="00C4636F"/>
    <w:rsid w:val="00C54088"/>
    <w:rsid w:val="00C55E15"/>
    <w:rsid w:val="00C73274"/>
    <w:rsid w:val="00C73DAC"/>
    <w:rsid w:val="00C9182A"/>
    <w:rsid w:val="00CB02D7"/>
    <w:rsid w:val="00CC6725"/>
    <w:rsid w:val="00CE256F"/>
    <w:rsid w:val="00D5007F"/>
    <w:rsid w:val="00D86B93"/>
    <w:rsid w:val="00D87485"/>
    <w:rsid w:val="00DE6AFD"/>
    <w:rsid w:val="00DE7127"/>
    <w:rsid w:val="00DF138E"/>
    <w:rsid w:val="00E63467"/>
    <w:rsid w:val="00E7239E"/>
    <w:rsid w:val="00EA352E"/>
    <w:rsid w:val="00EA371C"/>
    <w:rsid w:val="00EA6799"/>
    <w:rsid w:val="00EB1A95"/>
    <w:rsid w:val="00EC0874"/>
    <w:rsid w:val="00EC7061"/>
    <w:rsid w:val="00ED3A9B"/>
    <w:rsid w:val="00EE4D0B"/>
    <w:rsid w:val="00F065AE"/>
    <w:rsid w:val="00F53A52"/>
    <w:rsid w:val="00F61262"/>
    <w:rsid w:val="00F729C2"/>
    <w:rsid w:val="00F76551"/>
    <w:rsid w:val="00F809C8"/>
    <w:rsid w:val="00F81A23"/>
    <w:rsid w:val="00F83312"/>
    <w:rsid w:val="00FB7A12"/>
    <w:rsid w:val="00FC6C0F"/>
    <w:rsid w:val="00FD4141"/>
    <w:rsid w:val="00FE46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CE7A9"/>
  <w15:docId w15:val="{74E1FC07-CF39-A04E-8A60-02AE95BF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8C0"/>
    <w:pPr>
      <w:spacing w:after="0" w:line="240" w:lineRule="auto"/>
    </w:pPr>
    <w:rPr>
      <w:rFonts w:ascii="Arial" w:eastAsia="Times New Roman" w:hAnsi="Arial" w:cs="Times New Roman"/>
      <w:szCs w:val="20"/>
      <w:lang w:eastAsia="fr-FR"/>
    </w:rPr>
  </w:style>
  <w:style w:type="paragraph" w:styleId="Heading1">
    <w:name w:val="heading 1"/>
    <w:basedOn w:val="ListParagraph"/>
    <w:next w:val="Normal"/>
    <w:link w:val="Heading1Char"/>
    <w:uiPriority w:val="9"/>
    <w:qFormat/>
    <w:rsid w:val="008E7EA5"/>
    <w:pPr>
      <w:numPr>
        <w:numId w:val="1"/>
      </w:numPr>
      <w:spacing w:before="120" w:after="240"/>
      <w:ind w:left="426" w:hanging="426"/>
      <w:jc w:val="both"/>
      <w:outlineLvl w:val="0"/>
    </w:pPr>
    <w:rPr>
      <w:rFonts w:ascii="Bodoni MT" w:eastAsiaTheme="minorHAnsi" w:hAnsi="Bodoni MT" w:cstheme="minorBidi"/>
      <w:b/>
      <w:smallCaps/>
      <w:sz w:val="24"/>
      <w:szCs w:val="22"/>
      <w:lang w:val="fr-CA" w:eastAsia="en-US"/>
    </w:rPr>
  </w:style>
  <w:style w:type="paragraph" w:styleId="Heading2">
    <w:name w:val="heading 2"/>
    <w:basedOn w:val="Normal"/>
    <w:next w:val="Normal"/>
    <w:link w:val="Heading2Char"/>
    <w:uiPriority w:val="9"/>
    <w:unhideWhenUsed/>
    <w:qFormat/>
    <w:rsid w:val="008E7EA5"/>
    <w:pPr>
      <w:keepNext/>
      <w:keepLines/>
      <w:numPr>
        <w:ilvl w:val="1"/>
        <w:numId w:val="1"/>
      </w:numPr>
      <w:spacing w:before="120" w:after="120"/>
      <w:ind w:left="709" w:hanging="431"/>
      <w:jc w:val="both"/>
      <w:outlineLvl w:val="1"/>
    </w:pPr>
    <w:rPr>
      <w:rFonts w:ascii="Bodoni MT" w:eastAsiaTheme="majorEastAsia" w:hAnsi="Bodoni MT" w:cs="Arial"/>
      <w:b/>
      <w:bCs/>
      <w:smallCaps/>
      <w:color w:val="00ACE9"/>
      <w:szCs w:val="22"/>
      <w:lang w:val="fr-CA" w:eastAsia="en-US"/>
    </w:rPr>
  </w:style>
  <w:style w:type="paragraph" w:styleId="Heading3">
    <w:name w:val="heading 3"/>
    <w:basedOn w:val="Heading2"/>
    <w:next w:val="Normal"/>
    <w:link w:val="Heading3Char"/>
    <w:uiPriority w:val="9"/>
    <w:unhideWhenUsed/>
    <w:qFormat/>
    <w:rsid w:val="008E7EA5"/>
    <w:pPr>
      <w:numPr>
        <w:ilvl w:val="2"/>
      </w:numPr>
      <w:ind w:left="993" w:hanging="426"/>
      <w:outlineLvl w:val="2"/>
    </w:pPr>
    <w:rPr>
      <w:smallCaps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iteemettrice">
    <w:name w:val="Entite emettrice"/>
    <w:basedOn w:val="Normal"/>
    <w:rsid w:val="000225EC"/>
    <w:pPr>
      <w:spacing w:before="120" w:after="120"/>
      <w:ind w:left="-102"/>
      <w:jc w:val="center"/>
    </w:pPr>
    <w:rPr>
      <w:rFonts w:eastAsia="Calibri"/>
      <w:b/>
      <w:smallCaps/>
      <w:color w:val="005293"/>
      <w:szCs w:val="22"/>
      <w:lang w:val="fr-CA" w:eastAsia="en-US"/>
    </w:rPr>
  </w:style>
  <w:style w:type="character" w:styleId="PlaceholderText">
    <w:name w:val="Placeholder Text"/>
    <w:uiPriority w:val="99"/>
    <w:semiHidden/>
    <w:rsid w:val="000225EC"/>
    <w:rPr>
      <w:color w:val="808080"/>
    </w:rPr>
  </w:style>
  <w:style w:type="paragraph" w:customStyle="1" w:styleId="TypeetVersion">
    <w:name w:val="Type et Version"/>
    <w:basedOn w:val="Normal"/>
    <w:rsid w:val="000225EC"/>
    <w:pPr>
      <w:spacing w:before="120" w:after="120"/>
      <w:ind w:left="-108" w:right="-108"/>
      <w:jc w:val="center"/>
    </w:pPr>
    <w:rPr>
      <w:rFonts w:eastAsia="Calibri"/>
      <w:smallCaps/>
      <w:szCs w:val="22"/>
      <w:lang w:val="fr-CA" w:eastAsia="en-US"/>
    </w:rPr>
  </w:style>
  <w:style w:type="paragraph" w:customStyle="1" w:styleId="Titredudocument">
    <w:name w:val="Titre du document"/>
    <w:basedOn w:val="Normal"/>
    <w:rsid w:val="000225EC"/>
    <w:pPr>
      <w:spacing w:before="120" w:after="120"/>
      <w:jc w:val="center"/>
    </w:pPr>
    <w:rPr>
      <w:rFonts w:eastAsia="Calibri"/>
      <w:b/>
      <w:smallCaps/>
      <w:szCs w:val="22"/>
      <w:lang w:val="fr-CA" w:eastAsia="en-US"/>
    </w:rPr>
  </w:style>
  <w:style w:type="paragraph" w:styleId="Header">
    <w:name w:val="header"/>
    <w:basedOn w:val="Normal"/>
    <w:link w:val="HeaderChar"/>
    <w:uiPriority w:val="99"/>
    <w:unhideWhenUsed/>
    <w:rsid w:val="000225EC"/>
    <w:pPr>
      <w:tabs>
        <w:tab w:val="center" w:pos="4536"/>
        <w:tab w:val="right" w:pos="9072"/>
      </w:tabs>
    </w:pPr>
  </w:style>
  <w:style w:type="character" w:customStyle="1" w:styleId="HeaderChar">
    <w:name w:val="Header Char"/>
    <w:basedOn w:val="DefaultParagraphFont"/>
    <w:link w:val="Header"/>
    <w:uiPriority w:val="99"/>
    <w:rsid w:val="000225EC"/>
    <w:rPr>
      <w:rFonts w:ascii="Arial" w:eastAsia="Times New Roman" w:hAnsi="Arial" w:cs="Times New Roman"/>
      <w:szCs w:val="20"/>
      <w:lang w:eastAsia="fr-FR"/>
    </w:rPr>
  </w:style>
  <w:style w:type="paragraph" w:styleId="Footer">
    <w:name w:val="footer"/>
    <w:basedOn w:val="Normal"/>
    <w:link w:val="FooterChar"/>
    <w:uiPriority w:val="99"/>
    <w:unhideWhenUsed/>
    <w:rsid w:val="000225EC"/>
    <w:pPr>
      <w:tabs>
        <w:tab w:val="center" w:pos="4536"/>
        <w:tab w:val="right" w:pos="9072"/>
      </w:tabs>
    </w:pPr>
  </w:style>
  <w:style w:type="character" w:customStyle="1" w:styleId="FooterChar">
    <w:name w:val="Footer Char"/>
    <w:basedOn w:val="DefaultParagraphFont"/>
    <w:link w:val="Footer"/>
    <w:uiPriority w:val="99"/>
    <w:rsid w:val="000225EC"/>
    <w:rPr>
      <w:rFonts w:ascii="Arial" w:eastAsia="Times New Roman" w:hAnsi="Arial" w:cs="Times New Roman"/>
      <w:szCs w:val="20"/>
      <w:lang w:eastAsia="fr-FR"/>
    </w:rPr>
  </w:style>
  <w:style w:type="paragraph" w:customStyle="1" w:styleId="garantiejour">
    <w:name w:val="garantie à jour"/>
    <w:basedOn w:val="Footer"/>
    <w:rsid w:val="000225EC"/>
    <w:pPr>
      <w:spacing w:before="40"/>
      <w:jc w:val="center"/>
    </w:pPr>
    <w:rPr>
      <w:rFonts w:eastAsia="Calibri" w:cs="Arial"/>
      <w:b/>
      <w:color w:val="00B050"/>
      <w:sz w:val="16"/>
      <w:szCs w:val="22"/>
      <w:lang w:val="fr-CA" w:eastAsia="en-US"/>
    </w:rPr>
  </w:style>
  <w:style w:type="paragraph" w:customStyle="1" w:styleId="diffusioninterdite">
    <w:name w:val="diffusion interdite"/>
    <w:basedOn w:val="Footer"/>
    <w:rsid w:val="000225EC"/>
    <w:pPr>
      <w:jc w:val="center"/>
    </w:pPr>
    <w:rPr>
      <w:rFonts w:eastAsia="Calibri" w:cs="Arial"/>
      <w:b/>
      <w:color w:val="FF0000"/>
      <w:sz w:val="16"/>
      <w:szCs w:val="16"/>
      <w:lang w:val="fr-CA" w:eastAsia="en-US"/>
    </w:rPr>
  </w:style>
  <w:style w:type="character" w:customStyle="1" w:styleId="Heading1Char">
    <w:name w:val="Heading 1 Char"/>
    <w:basedOn w:val="DefaultParagraphFont"/>
    <w:link w:val="Heading1"/>
    <w:uiPriority w:val="9"/>
    <w:rsid w:val="008E7EA5"/>
    <w:rPr>
      <w:rFonts w:ascii="Bodoni MT" w:hAnsi="Bodoni MT"/>
      <w:b/>
      <w:smallCaps/>
      <w:sz w:val="24"/>
      <w:lang w:val="fr-CA"/>
    </w:rPr>
  </w:style>
  <w:style w:type="character" w:customStyle="1" w:styleId="Heading2Char">
    <w:name w:val="Heading 2 Char"/>
    <w:basedOn w:val="DefaultParagraphFont"/>
    <w:link w:val="Heading2"/>
    <w:uiPriority w:val="9"/>
    <w:rsid w:val="008E7EA5"/>
    <w:rPr>
      <w:rFonts w:ascii="Bodoni MT" w:eastAsiaTheme="majorEastAsia" w:hAnsi="Bodoni MT" w:cs="Arial"/>
      <w:b/>
      <w:bCs/>
      <w:smallCaps/>
      <w:color w:val="00ACE9"/>
      <w:lang w:val="fr-CA"/>
    </w:rPr>
  </w:style>
  <w:style w:type="character" w:customStyle="1" w:styleId="Heading3Char">
    <w:name w:val="Heading 3 Char"/>
    <w:basedOn w:val="DefaultParagraphFont"/>
    <w:link w:val="Heading3"/>
    <w:uiPriority w:val="9"/>
    <w:rsid w:val="008E7EA5"/>
    <w:rPr>
      <w:rFonts w:ascii="Bodoni MT" w:eastAsiaTheme="majorEastAsia" w:hAnsi="Bodoni MT" w:cs="Arial"/>
      <w:b/>
      <w:bCs/>
      <w:lang w:val="fr-CA"/>
    </w:rPr>
  </w:style>
  <w:style w:type="paragraph" w:styleId="TOC1">
    <w:name w:val="toc 1"/>
    <w:basedOn w:val="Normal"/>
    <w:next w:val="Normal"/>
    <w:autoRedefine/>
    <w:uiPriority w:val="39"/>
    <w:unhideWhenUsed/>
    <w:rsid w:val="008E7EA5"/>
    <w:pPr>
      <w:spacing w:before="120" w:after="120" w:line="276" w:lineRule="auto"/>
      <w:jc w:val="both"/>
    </w:pPr>
    <w:rPr>
      <w:rFonts w:eastAsiaTheme="minorHAnsi" w:cstheme="minorBidi"/>
      <w:b/>
      <w:bCs/>
      <w:caps/>
      <w:sz w:val="20"/>
      <w:lang w:val="fr-CA" w:eastAsia="en-US"/>
    </w:rPr>
  </w:style>
  <w:style w:type="character" w:styleId="Hyperlink">
    <w:name w:val="Hyperlink"/>
    <w:basedOn w:val="DefaultParagraphFont"/>
    <w:uiPriority w:val="99"/>
    <w:unhideWhenUsed/>
    <w:rsid w:val="008E7EA5"/>
    <w:rPr>
      <w:color w:val="0563C1" w:themeColor="hyperlink"/>
      <w:u w:val="single"/>
    </w:rPr>
  </w:style>
  <w:style w:type="paragraph" w:styleId="ListParagraph">
    <w:name w:val="List Paragraph"/>
    <w:basedOn w:val="Normal"/>
    <w:uiPriority w:val="34"/>
    <w:qFormat/>
    <w:rsid w:val="008E7EA5"/>
    <w:pPr>
      <w:ind w:left="720"/>
      <w:contextualSpacing/>
    </w:pPr>
  </w:style>
  <w:style w:type="table" w:styleId="TableGrid">
    <w:name w:val="Table Grid"/>
    <w:basedOn w:val="TableNormal"/>
    <w:uiPriority w:val="39"/>
    <w:rsid w:val="00C91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B1A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1A95"/>
    <w:rPr>
      <w:rFonts w:ascii="Segoe UI" w:eastAsia="Times New Roman" w:hAnsi="Segoe UI" w:cs="Segoe UI"/>
      <w:sz w:val="18"/>
      <w:szCs w:val="18"/>
      <w:lang w:eastAsia="fr-FR"/>
    </w:rPr>
  </w:style>
  <w:style w:type="table" w:customStyle="1" w:styleId="Grilleclaire-Accent11">
    <w:name w:val="Grille claire - Accent 11"/>
    <w:basedOn w:val="TableNormal"/>
    <w:next w:val="LightGrid-Accent1"/>
    <w:uiPriority w:val="62"/>
    <w:rsid w:val="00990510"/>
    <w:pPr>
      <w:spacing w:after="0" w:line="240" w:lineRule="auto"/>
    </w:pPr>
    <w:tblPr>
      <w:tblStyleRowBandSize w:val="1"/>
      <w:tblStyleColBandSize w:val="1"/>
      <w:tblBorders>
        <w:top w:val="single" w:sz="8" w:space="0" w:color="005293"/>
        <w:left w:val="single" w:sz="8" w:space="0" w:color="005293"/>
        <w:bottom w:val="single" w:sz="8" w:space="0" w:color="005293"/>
        <w:right w:val="single" w:sz="8" w:space="0" w:color="005293"/>
        <w:insideH w:val="single" w:sz="8" w:space="0" w:color="005293"/>
        <w:insideV w:val="single" w:sz="8" w:space="0" w:color="005293"/>
      </w:tblBorders>
    </w:tblPr>
    <w:tblStylePr w:type="firstRow">
      <w:pPr>
        <w:spacing w:before="0" w:after="0" w:line="240" w:lineRule="auto"/>
      </w:pPr>
      <w:rPr>
        <w:rFonts w:ascii="Cambria" w:eastAsia="Times New Roman" w:hAnsi="Cambria" w:cs="Times New Roman"/>
        <w:b/>
        <w:bCs/>
      </w:rPr>
      <w:tblPr/>
      <w:tcPr>
        <w:tcBorders>
          <w:top w:val="single" w:sz="8" w:space="0" w:color="005293"/>
          <w:left w:val="single" w:sz="8" w:space="0" w:color="005293"/>
          <w:bottom w:val="single" w:sz="18" w:space="0" w:color="005293"/>
          <w:right w:val="single" w:sz="8" w:space="0" w:color="005293"/>
          <w:insideH w:val="nil"/>
          <w:insideV w:val="single" w:sz="8" w:space="0" w:color="005293"/>
        </w:tcBorders>
      </w:tcPr>
    </w:tblStylePr>
    <w:tblStylePr w:type="lastRow">
      <w:pPr>
        <w:spacing w:before="0" w:after="0" w:line="240" w:lineRule="auto"/>
      </w:pPr>
      <w:rPr>
        <w:rFonts w:ascii="Cambria" w:eastAsia="Times New Roman" w:hAnsi="Cambria" w:cs="Times New Roman"/>
        <w:b/>
        <w:bCs/>
      </w:rPr>
      <w:tblPr/>
      <w:tcPr>
        <w:tcBorders>
          <w:top w:val="double" w:sz="6" w:space="0" w:color="005293"/>
          <w:left w:val="single" w:sz="8" w:space="0" w:color="005293"/>
          <w:bottom w:val="single" w:sz="8" w:space="0" w:color="005293"/>
          <w:right w:val="single" w:sz="8" w:space="0" w:color="005293"/>
          <w:insideH w:val="nil"/>
          <w:insideV w:val="single" w:sz="8" w:space="0" w:color="005293"/>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5293"/>
          <w:left w:val="single" w:sz="8" w:space="0" w:color="005293"/>
          <w:bottom w:val="single" w:sz="8" w:space="0" w:color="005293"/>
          <w:right w:val="single" w:sz="8" w:space="0" w:color="005293"/>
        </w:tcBorders>
      </w:tcPr>
    </w:tblStylePr>
    <w:tblStylePr w:type="band1Vert">
      <w:tblPr/>
      <w:tcPr>
        <w:tcBorders>
          <w:top w:val="single" w:sz="8" w:space="0" w:color="005293"/>
          <w:left w:val="single" w:sz="8" w:space="0" w:color="005293"/>
          <w:bottom w:val="single" w:sz="8" w:space="0" w:color="005293"/>
          <w:right w:val="single" w:sz="8" w:space="0" w:color="005293"/>
        </w:tcBorders>
        <w:shd w:val="clear" w:color="auto" w:fill="A5D7FF"/>
      </w:tcPr>
    </w:tblStylePr>
    <w:tblStylePr w:type="band1Horz">
      <w:tblPr/>
      <w:tcPr>
        <w:tcBorders>
          <w:top w:val="single" w:sz="8" w:space="0" w:color="005293"/>
          <w:left w:val="single" w:sz="8" w:space="0" w:color="005293"/>
          <w:bottom w:val="single" w:sz="8" w:space="0" w:color="005293"/>
          <w:right w:val="single" w:sz="8" w:space="0" w:color="005293"/>
          <w:insideV w:val="single" w:sz="8" w:space="0" w:color="005293"/>
        </w:tcBorders>
        <w:shd w:val="clear" w:color="auto" w:fill="A5D7FF"/>
      </w:tcPr>
    </w:tblStylePr>
    <w:tblStylePr w:type="band2Horz">
      <w:tblPr/>
      <w:tcPr>
        <w:tcBorders>
          <w:top w:val="single" w:sz="8" w:space="0" w:color="005293"/>
          <w:left w:val="single" w:sz="8" w:space="0" w:color="005293"/>
          <w:bottom w:val="single" w:sz="8" w:space="0" w:color="005293"/>
          <w:right w:val="single" w:sz="8" w:space="0" w:color="005293"/>
          <w:insideV w:val="single" w:sz="8" w:space="0" w:color="005293"/>
        </w:tcBorders>
      </w:tcPr>
    </w:tblStylePr>
  </w:style>
  <w:style w:type="table" w:styleId="LightGrid-Accent1">
    <w:name w:val="Light Grid Accent 1"/>
    <w:basedOn w:val="TableNormal"/>
    <w:uiPriority w:val="62"/>
    <w:rsid w:val="00990510"/>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UnresolvedMention">
    <w:name w:val="Unresolved Mention"/>
    <w:basedOn w:val="DefaultParagraphFont"/>
    <w:uiPriority w:val="99"/>
    <w:semiHidden/>
    <w:unhideWhenUsed/>
    <w:rsid w:val="00977AB2"/>
    <w:rPr>
      <w:color w:val="605E5C"/>
      <w:shd w:val="clear" w:color="auto" w:fill="E1DFDD"/>
    </w:rPr>
  </w:style>
  <w:style w:type="paragraph" w:styleId="NormalWeb">
    <w:name w:val="Normal (Web)"/>
    <w:basedOn w:val="Normal"/>
    <w:uiPriority w:val="99"/>
    <w:unhideWhenUsed/>
    <w:rsid w:val="00905884"/>
    <w:pPr>
      <w:spacing w:before="100" w:beforeAutospacing="1" w:after="100" w:afterAutospacing="1"/>
    </w:pPr>
    <w:rPr>
      <w:rFonts w:ascii="Times New Roman" w:hAnsi="Times New Roman"/>
      <w:sz w:val="24"/>
      <w:szCs w:val="24"/>
      <w:lang w:val="en-FR" w:eastAsia="en-GB"/>
    </w:rPr>
  </w:style>
  <w:style w:type="character" w:styleId="HTMLCode">
    <w:name w:val="HTML Code"/>
    <w:basedOn w:val="DefaultParagraphFont"/>
    <w:uiPriority w:val="99"/>
    <w:semiHidden/>
    <w:unhideWhenUsed/>
    <w:rsid w:val="008153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5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FR" w:eastAsia="en-GB"/>
    </w:rPr>
  </w:style>
  <w:style w:type="character" w:customStyle="1" w:styleId="HTMLPreformattedChar">
    <w:name w:val="HTML Preformatted Char"/>
    <w:basedOn w:val="DefaultParagraphFont"/>
    <w:link w:val="HTMLPreformatted"/>
    <w:uiPriority w:val="99"/>
    <w:semiHidden/>
    <w:rsid w:val="0081532D"/>
    <w:rPr>
      <w:rFonts w:ascii="Courier New" w:eastAsia="Times New Roman" w:hAnsi="Courier New" w:cs="Courier New"/>
      <w:sz w:val="20"/>
      <w:szCs w:val="20"/>
      <w:lang w:val="en-FR" w:eastAsia="en-GB"/>
    </w:rPr>
  </w:style>
  <w:style w:type="character" w:styleId="Strong">
    <w:name w:val="Strong"/>
    <w:basedOn w:val="DefaultParagraphFont"/>
    <w:uiPriority w:val="22"/>
    <w:qFormat/>
    <w:rsid w:val="0081532D"/>
    <w:rPr>
      <w:b/>
      <w:bCs/>
    </w:rPr>
  </w:style>
  <w:style w:type="character" w:styleId="Emphasis">
    <w:name w:val="Emphasis"/>
    <w:basedOn w:val="DefaultParagraphFont"/>
    <w:uiPriority w:val="20"/>
    <w:qFormat/>
    <w:rsid w:val="00513B4B"/>
    <w:rPr>
      <w:i/>
      <w:iCs/>
    </w:rPr>
  </w:style>
  <w:style w:type="character" w:customStyle="1" w:styleId="period">
    <w:name w:val="period"/>
    <w:basedOn w:val="DefaultParagraphFont"/>
    <w:rsid w:val="001B47E7"/>
  </w:style>
  <w:style w:type="character" w:customStyle="1" w:styleId="cit">
    <w:name w:val="cit"/>
    <w:basedOn w:val="DefaultParagraphFont"/>
    <w:rsid w:val="001B47E7"/>
  </w:style>
  <w:style w:type="character" w:customStyle="1" w:styleId="citation-doi">
    <w:name w:val="citation-doi"/>
    <w:basedOn w:val="DefaultParagraphFont"/>
    <w:rsid w:val="001B47E7"/>
  </w:style>
  <w:style w:type="character" w:customStyle="1" w:styleId="authors-list-item">
    <w:name w:val="authors-list-item"/>
    <w:basedOn w:val="DefaultParagraphFont"/>
    <w:rsid w:val="001B47E7"/>
  </w:style>
  <w:style w:type="character" w:customStyle="1" w:styleId="author-sup-separator">
    <w:name w:val="author-sup-separator"/>
    <w:basedOn w:val="DefaultParagraphFont"/>
    <w:rsid w:val="001B47E7"/>
  </w:style>
  <w:style w:type="character" w:customStyle="1" w:styleId="comma">
    <w:name w:val="comma"/>
    <w:basedOn w:val="DefaultParagraphFont"/>
    <w:rsid w:val="001B47E7"/>
  </w:style>
  <w:style w:type="character" w:customStyle="1" w:styleId="Title1">
    <w:name w:val="Title1"/>
    <w:basedOn w:val="DefaultParagraphFont"/>
    <w:rsid w:val="001B47E7"/>
  </w:style>
  <w:style w:type="character" w:customStyle="1" w:styleId="identifier">
    <w:name w:val="identifier"/>
    <w:basedOn w:val="DefaultParagraphFont"/>
    <w:rsid w:val="001B47E7"/>
  </w:style>
  <w:style w:type="character" w:customStyle="1" w:styleId="id-label">
    <w:name w:val="id-label"/>
    <w:basedOn w:val="DefaultParagraphFont"/>
    <w:rsid w:val="001B47E7"/>
  </w:style>
  <w:style w:type="character" w:customStyle="1" w:styleId="fal6plv">
    <w:name w:val="fal6plv"/>
    <w:basedOn w:val="DefaultParagraphFont"/>
    <w:rsid w:val="00744000"/>
  </w:style>
  <w:style w:type="paragraph" w:styleId="Bibliography">
    <w:name w:val="Bibliography"/>
    <w:basedOn w:val="Normal"/>
    <w:next w:val="Normal"/>
    <w:uiPriority w:val="37"/>
    <w:unhideWhenUsed/>
    <w:rsid w:val="00E63467"/>
    <w:pPr>
      <w:tabs>
        <w:tab w:val="left" w:pos="260"/>
      </w:tabs>
      <w:spacing w:after="240"/>
      <w:ind w:left="264" w:hanging="264"/>
    </w:pPr>
  </w:style>
  <w:style w:type="table" w:styleId="TableGridLight">
    <w:name w:val="Grid Table Light"/>
    <w:basedOn w:val="TableNormal"/>
    <w:uiPriority w:val="40"/>
    <w:rsid w:val="000A4A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A4A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A4AD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091FD4"/>
    <w:rPr>
      <w:sz w:val="16"/>
      <w:szCs w:val="16"/>
    </w:rPr>
  </w:style>
  <w:style w:type="paragraph" w:styleId="CommentText">
    <w:name w:val="annotation text"/>
    <w:basedOn w:val="Normal"/>
    <w:link w:val="CommentTextChar"/>
    <w:uiPriority w:val="99"/>
    <w:semiHidden/>
    <w:unhideWhenUsed/>
    <w:rsid w:val="00091FD4"/>
    <w:rPr>
      <w:sz w:val="20"/>
    </w:rPr>
  </w:style>
  <w:style w:type="character" w:customStyle="1" w:styleId="CommentTextChar">
    <w:name w:val="Comment Text Char"/>
    <w:basedOn w:val="DefaultParagraphFont"/>
    <w:link w:val="CommentText"/>
    <w:uiPriority w:val="99"/>
    <w:semiHidden/>
    <w:rsid w:val="00091FD4"/>
    <w:rPr>
      <w:rFonts w:ascii="Arial" w:eastAsia="Times New Roman" w:hAnsi="Arial" w:cs="Times New Roman"/>
      <w:sz w:val="20"/>
      <w:szCs w:val="20"/>
      <w:lang w:eastAsia="fr-FR"/>
    </w:rPr>
  </w:style>
  <w:style w:type="paragraph" w:styleId="CommentSubject">
    <w:name w:val="annotation subject"/>
    <w:basedOn w:val="CommentText"/>
    <w:next w:val="CommentText"/>
    <w:link w:val="CommentSubjectChar"/>
    <w:uiPriority w:val="99"/>
    <w:semiHidden/>
    <w:unhideWhenUsed/>
    <w:rsid w:val="00091FD4"/>
    <w:rPr>
      <w:b/>
      <w:bCs/>
    </w:rPr>
  </w:style>
  <w:style w:type="character" w:customStyle="1" w:styleId="CommentSubjectChar">
    <w:name w:val="Comment Subject Char"/>
    <w:basedOn w:val="CommentTextChar"/>
    <w:link w:val="CommentSubject"/>
    <w:uiPriority w:val="99"/>
    <w:semiHidden/>
    <w:rsid w:val="00091FD4"/>
    <w:rPr>
      <w:rFonts w:ascii="Arial" w:eastAsia="Times New Roman" w:hAnsi="Arial"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lobodan.culina@pasteur.fr" TargetMode="External"/><Relationship Id="rId13" Type="http://schemas.openxmlformats.org/officeDocument/2006/relationships/hyperlink" Target="https://doi.org/10.5281/zenodo.20933199" TargetMode="External"/><Relationship Id="rId3" Type="http://schemas.openxmlformats.org/officeDocument/2006/relationships/settings" Target="settings.xml"/><Relationship Id="rId7" Type="http://schemas.openxmlformats.org/officeDocument/2006/relationships/hyperlink" Target="mailto:bernd.jagla@pasteur.fr"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ilena.hasan@pasteur.fr"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esma.karkeni@pasteur.fr" TargetMode="External"/><Relationship Id="rId4" Type="http://schemas.openxmlformats.org/officeDocument/2006/relationships/webSettings" Target="webSettings.xml"/><Relationship Id="rId9" Type="http://schemas.openxmlformats.org/officeDocument/2006/relationships/hyperlink" Target="mailto:francois.le-guerroue@pasteur.fr"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25</Pages>
  <Words>10412</Words>
  <Characters>59352</Characters>
  <Application>Microsoft Office Word</Application>
  <DocSecurity>0</DocSecurity>
  <Lines>494</Lines>
  <Paragraphs>139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CyFj11: FlowJo v11 Workspace Import and Legacy Format Export for R-Based Flow Cytometry Analysis</vt:lpstr>
      <vt:lpstr/>
    </vt:vector>
  </TitlesOfParts>
  <Company>Institut Pasteur</Company>
  <LinksUpToDate>false</LinksUpToDate>
  <CharactersWithSpaces>69625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CyFj11: FlowJo v11 Workspace Import and Legacy Format Export for R-Based Flow Cytometry Analysis</dc:title>
  <dc:subject/>
  <dc:creator>Bernd  JAGLA</dc:creator>
  <cp:keywords/>
  <dc:description/>
  <cp:lastModifiedBy>Bernd  JAGLA</cp:lastModifiedBy>
  <cp:revision>7</cp:revision>
  <cp:lastPrinted>2026-05-22T09:24:00Z</cp:lastPrinted>
  <dcterms:created xsi:type="dcterms:W3CDTF">2026-07-04T06:27:00Z</dcterms:created>
  <dcterms:modified xsi:type="dcterms:W3CDTF">2026-07-05T15:58:00Z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_type">
    <vt:lpwstr>Computational Article</vt:lpwstr>
  </property>
  <property fmtid="{D5CDD505-2E9C-101B-9397-08002B2CF9AE}" pid="3" name="bibliography">
    <vt:lpwstr>../references.bib</vt:lpwstr>
  </property>
  <property fmtid="{D5CDD505-2E9C-101B-9397-08002B2CF9AE}" pid="4" name="csl">
    <vt:lpwstr>cytometry-part-a.csl</vt:lpwstr>
  </property>
  <property fmtid="{D5CDD505-2E9C-101B-9397-08002B2CF9AE}" pid="5" name="header-includes">
    <vt:lpwstr/>
  </property>
  <property fmtid="{D5CDD505-2E9C-101B-9397-08002B2CF9AE}" pid="6" name="output">
    <vt:lpwstr/>
  </property>
  <property fmtid="{D5CDD505-2E9C-101B-9397-08002B2CF9AE}" pid="7" name="short_title">
    <vt:lpwstr>CyFj11: FlowJo v11 / R Interoperability</vt:lpwstr>
  </property>
  <property fmtid="{D5CDD505-2E9C-101B-9397-08002B2CF9AE}" pid="8" name="version">
    <vt:lpwstr>v0.2-draft (2026-04-10)</vt:lpwstr>
  </property>
  <property fmtid="{D5CDD505-2E9C-101B-9397-08002B2CF9AE}" pid="9" name="ZOTERO_PREF_1">
    <vt:lpwstr>&lt;data data-version="3" zotero-version="9.0.4"&gt;&lt;session id="git0Gc43"/&gt;&lt;style id="http://www.zotero.org/styles/nlm-citation-sequence" locale="en-US" hasBibliography="1" bibliographyStyleHasBeenSet="1"/&gt;&lt;prefs&gt;&lt;pref name="fieldType" value="Field"/&gt;&lt;/prefs&gt;&lt;</vt:lpwstr>
  </property>
  <property fmtid="{D5CDD505-2E9C-101B-9397-08002B2CF9AE}" pid="10" name="ZOTERO_PREF_2">
    <vt:lpwstr>/data&gt;</vt:lpwstr>
  </property>
</Properties>
</file>