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E1B3D" w14:textId="77777777" w:rsidR="008D041B" w:rsidRPr="00977AB2" w:rsidRDefault="0099442C">
      <w:pPr>
        <w:rPr>
          <w:lang w:val="en-US"/>
        </w:rPr>
      </w:pPr>
      <w:r w:rsidRPr="00977AB2">
        <w:rPr>
          <w:lang w:val="en-US"/>
        </w:rPr>
        <w:t>CyFj11: FlowJo v11 Workspace Import and Legacy Format Export for R-Based Flow Cytometry Analysis</w:t>
      </w:r>
    </w:p>
    <w:p w14:paraId="5C77F190" w14:textId="77777777" w:rsidR="008D041B" w:rsidRDefault="00DC1950">
      <w:r>
        <w:rPr>
          <w:noProof/>
        </w:rPr>
        <w:pict w14:anchorId="0EFD282C">
          <v:rect id="_x0000_i1033" alt="" style="width:451.3pt;height:.05pt;mso-width-percent:0;mso-height-percent:0;mso-width-percent:0;mso-height-percent:0" o:hralign="center" o:hrstd="t" o:hr="t"/>
        </w:pict>
      </w:r>
    </w:p>
    <w:p w14:paraId="007B0BA4" w14:textId="77777777" w:rsidR="008D041B" w:rsidRDefault="0099442C">
      <w:pPr>
        <w:pStyle w:val="Heading1"/>
      </w:pPr>
      <w:bookmarkStart w:id="0" w:name="title-page"/>
      <w:r>
        <w:t>Title Page</w:t>
      </w:r>
    </w:p>
    <w:p w14:paraId="0B7A3C64" w14:textId="77777777" w:rsidR="008D041B" w:rsidRPr="00977AB2" w:rsidRDefault="0099442C">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99442C">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DC234C" w:rsidRDefault="0099442C">
      <w:pPr>
        <w:rPr>
          <w:lang w:val="en-US"/>
        </w:rPr>
      </w:pPr>
      <w:r w:rsidRPr="00DC234C">
        <w:rPr>
          <w:b/>
          <w:bCs/>
          <w:lang w:val="en-US"/>
        </w:rPr>
        <w:t>Manuscript version:</w:t>
      </w:r>
      <w:r w:rsidRPr="00DC234C">
        <w:rPr>
          <w:lang w:val="en-US"/>
        </w:rPr>
        <w:t xml:space="preserve"> v0.2-draft (2026-0</w:t>
      </w:r>
      <w:r w:rsidR="00977AB2" w:rsidRPr="00DC234C">
        <w:rPr>
          <w:lang w:val="en-US"/>
        </w:rPr>
        <w:t>5</w:t>
      </w:r>
      <w:r w:rsidRPr="00DC234C">
        <w:rPr>
          <w:lang w:val="en-US"/>
        </w:rPr>
        <w:t>-</w:t>
      </w:r>
      <w:r w:rsidR="00977AB2" w:rsidRPr="00DC234C">
        <w:rPr>
          <w:lang w:val="en-US"/>
        </w:rPr>
        <w:t>22</w:t>
      </w:r>
      <w:r w:rsidRPr="00DC234C">
        <w:rPr>
          <w:lang w:val="en-US"/>
        </w:rPr>
        <w:t>)</w:t>
      </w:r>
    </w:p>
    <w:p w14:paraId="541A5BE7" w14:textId="7DB513A3" w:rsidR="008D041B" w:rsidRPr="00DC234C" w:rsidRDefault="0099442C">
      <w:pPr>
        <w:rPr>
          <w:lang w:val="en-US"/>
        </w:rPr>
      </w:pPr>
      <w:r w:rsidRPr="00DC234C">
        <w:rPr>
          <w:b/>
          <w:bCs/>
          <w:lang w:val="en-US"/>
        </w:rPr>
        <w:t>Authors:</w:t>
      </w:r>
      <w:r w:rsidRPr="00DC234C">
        <w:rPr>
          <w:lang w:val="en-US"/>
        </w:rPr>
        <w:t xml:space="preserve"> </w:t>
      </w:r>
      <w:r w:rsidR="00977AB2" w:rsidRPr="00DC234C">
        <w:rPr>
          <w:lang w:val="en-US"/>
        </w:rPr>
        <w:t xml:space="preserve">Bernd Jagla, </w:t>
      </w:r>
      <w:hyperlink r:id="rId7" w:history="1">
        <w:r w:rsidR="00977AB2" w:rsidRPr="00DC234C">
          <w:rPr>
            <w:rStyle w:val="Hyperlink"/>
            <w:lang w:val="en-US"/>
          </w:rPr>
          <w:t>bernd.jagla@pasteur.fr</w:t>
        </w:r>
      </w:hyperlink>
      <w:r w:rsidR="006E6097" w:rsidRPr="00DC234C">
        <w:rPr>
          <w:lang w:val="en-US"/>
        </w:rPr>
        <w:t xml:space="preserve"> (1)</w:t>
      </w:r>
    </w:p>
    <w:p w14:paraId="42A0F975" w14:textId="7AADBC33" w:rsidR="00086105" w:rsidRPr="00EA352E" w:rsidRDefault="00086105">
      <w:r w:rsidRPr="00EA352E">
        <w:t xml:space="preserve">Slobodan Culina, </w:t>
      </w:r>
      <w:hyperlink r:id="rId8" w:history="1">
        <w:r w:rsidRPr="00EA352E">
          <w:rPr>
            <w:rStyle w:val="Hyperlink"/>
          </w:rPr>
          <w:t>Slobodan.culina@pasteur.fr</w:t>
        </w:r>
      </w:hyperlink>
      <w:r w:rsidRPr="00EA352E">
        <w:t xml:space="preserve"> (2)</w:t>
      </w:r>
    </w:p>
    <w:p w14:paraId="5A8B9AD2" w14:textId="12D06380" w:rsidR="00086105" w:rsidRDefault="00086105">
      <w:r w:rsidRPr="00086105">
        <w:t xml:space="preserve">Francois </w:t>
      </w:r>
      <w:r>
        <w:t xml:space="preserve">Le Guerroue, </w:t>
      </w:r>
      <w:hyperlink r:id="rId9" w:history="1">
        <w:r w:rsidRPr="00104738">
          <w:rPr>
            <w:rStyle w:val="Hyperlink"/>
          </w:rPr>
          <w:t>francois.le-guerroue@pasteur.fr</w:t>
        </w:r>
      </w:hyperlink>
      <w:r>
        <w:t xml:space="preserve"> (2)</w:t>
      </w:r>
    </w:p>
    <w:p w14:paraId="2E3AB0F9" w14:textId="4AFC1AB6" w:rsidR="00086105" w:rsidRPr="00086105" w:rsidRDefault="00086105">
      <w:pPr>
        <w:rPr>
          <w:lang w:val="de-DE"/>
        </w:rPr>
      </w:pPr>
      <w:r w:rsidRPr="00086105">
        <w:rPr>
          <w:lang w:val="de-DE"/>
        </w:rPr>
        <w:t xml:space="preserve">Esma Karkeni, </w:t>
      </w:r>
      <w:hyperlink r:id="rId10" w:history="1">
        <w:r w:rsidRPr="00104738">
          <w:rPr>
            <w:rStyle w:val="Hyperlink"/>
            <w:lang w:val="de-DE"/>
          </w:rPr>
          <w:t>esma.karkeni@pasteur.fr</w:t>
        </w:r>
      </w:hyperlink>
      <w:r>
        <w:rPr>
          <w:lang w:val="de-DE"/>
        </w:rPr>
        <w:t xml:space="preserve"> (2)</w:t>
      </w:r>
    </w:p>
    <w:p w14:paraId="707CBBC8" w14:textId="78EDC2DB" w:rsidR="00977AB2" w:rsidRPr="00086105" w:rsidRDefault="00977AB2">
      <w:pPr>
        <w:rPr>
          <w:lang w:val="en-US"/>
        </w:rPr>
      </w:pPr>
      <w:r w:rsidRPr="00086105">
        <w:rPr>
          <w:lang w:val="en-US"/>
        </w:rPr>
        <w:t xml:space="preserve">Milena Hasan, </w:t>
      </w:r>
      <w:hyperlink r:id="rId11" w:history="1">
        <w:r w:rsidR="006E6097" w:rsidRPr="00086105">
          <w:rPr>
            <w:rStyle w:val="Hyperlink"/>
            <w:lang w:val="en-US"/>
          </w:rPr>
          <w:t>milena.hasan@pasteur.fr</w:t>
        </w:r>
      </w:hyperlink>
      <w:r w:rsidR="006E6097" w:rsidRPr="00086105">
        <w:rPr>
          <w:lang w:val="en-US"/>
        </w:rPr>
        <w:t xml:space="preserve"> (2)</w:t>
      </w:r>
    </w:p>
    <w:p w14:paraId="124489AF" w14:textId="72CB7822" w:rsidR="008D041B" w:rsidRDefault="0099442C">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1</w:t>
      </w:r>
      <w:r w:rsidR="006E6097" w:rsidRPr="00086105">
        <w:t>: Institut Pasteur, scBiomarkers UTechS &amp; Bioinformatics &amp; Biostatistics Hub, 25-28 rue du Docteur Roux, 75015 Paris</w:t>
      </w:r>
    </w:p>
    <w:p w14:paraId="7A010EA8" w14:textId="2D375219" w:rsidR="006E6097" w:rsidRPr="006E6097" w:rsidRDefault="006E6097" w:rsidP="00086105">
      <w:r>
        <w:rPr>
          <w:shd w:val="clear" w:color="auto" w:fill="FFFFFF"/>
        </w:rPr>
        <w:t xml:space="preserve">2 : </w:t>
      </w:r>
      <w:r>
        <w:t xml:space="preserve">Institut Pasteur, </w:t>
      </w:r>
      <w:r w:rsidRPr="006E6097">
        <w:t xml:space="preserve">scBiomarkers UTechS, </w:t>
      </w:r>
      <w:r>
        <w:rPr>
          <w:shd w:val="clear" w:color="auto" w:fill="FFFFFF"/>
        </w:rPr>
        <w:t>25-28 rue du Docteur Roux, 75015 Paris</w:t>
      </w:r>
    </w:p>
    <w:p w14:paraId="6A62AD1A" w14:textId="16AC9D44" w:rsidR="008D041B" w:rsidRPr="00977AB2" w:rsidRDefault="0099442C">
      <w:pPr>
        <w:rPr>
          <w:lang w:val="en-US"/>
        </w:rPr>
      </w:pPr>
      <w:r w:rsidRPr="00977AB2">
        <w:rPr>
          <w:b/>
          <w:bCs/>
          <w:lang w:val="en-US"/>
        </w:rPr>
        <w:t>Corresponding author: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99442C">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99442C">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99442C">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99442C">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19426860" w:rsidR="008D041B" w:rsidRPr="00977AB2" w:rsidRDefault="0099442C">
      <w:pPr>
        <w:rPr>
          <w:lang w:val="en-US"/>
        </w:rPr>
      </w:pPr>
      <w:r w:rsidRPr="00977AB2">
        <w:rPr>
          <w:b/>
          <w:bCs/>
          <w:lang w:val="en-US"/>
        </w:rPr>
        <w:t>AI use disclosure:</w:t>
      </w:r>
      <w:r w:rsidR="00684CBC" w:rsidRPr="00684CBC">
        <w:rPr>
          <w:lang w:val="en-US"/>
        </w:rPr>
        <w:t xml:space="preserve"> AI-assisted tools were used for drafting and editing portions of this manuscript.</w:t>
      </w:r>
      <w:r w:rsidRPr="00977AB2">
        <w:rPr>
          <w:lang w:val="en-US"/>
        </w:rPr>
        <w:t xml:space="preserve"> All scientific content and interpretation are the responsibility of the authors.</w:t>
      </w:r>
    </w:p>
    <w:p w14:paraId="7E26059B" w14:textId="77777777" w:rsidR="00905884" w:rsidRPr="00905884" w:rsidRDefault="0099442C"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2D73E865" w:rsidR="008D041B" w:rsidRPr="00977AB2" w:rsidRDefault="00905884" w:rsidP="00905884">
      <w:pPr>
        <w:rPr>
          <w:lang w:val="en-US"/>
        </w:rPr>
      </w:pPr>
      <w:r w:rsidRPr="00905884">
        <w:rPr>
          <w:lang w:val="en-US"/>
        </w:rPr>
        <w:t xml:space="preserve">               Investigation, Writing – original draft</w:t>
      </w:r>
      <w:r>
        <w:rPr>
          <w:lang w:val="en-US"/>
        </w:rPr>
        <w:t xml:space="preserve">. MH: </w:t>
      </w:r>
      <w:r w:rsidRPr="00905884">
        <w:rPr>
          <w:lang w:val="en-US"/>
        </w:rPr>
        <w:t>Supervision, Writing – review &amp; editing</w:t>
      </w:r>
    </w:p>
    <w:p w14:paraId="4A70369F" w14:textId="77777777" w:rsidR="008D041B" w:rsidRDefault="00DC1950">
      <w:r>
        <w:rPr>
          <w:noProof/>
        </w:rPr>
        <w:pict w14:anchorId="79FC8EFA">
          <v:rect id="_x0000_i1032" alt="" style="width:451.3pt;height:.05pt;mso-width-percent:0;mso-height-percent:0;mso-width-percent:0;mso-height-percent:0" o:hralign="center" o:hrstd="t" o:hr="t"/>
        </w:pict>
      </w:r>
    </w:p>
    <w:p w14:paraId="4DEC57D0" w14:textId="77777777" w:rsidR="008D041B" w:rsidRDefault="0099442C">
      <w:pPr>
        <w:pStyle w:val="Heading1"/>
      </w:pPr>
      <w:bookmarkStart w:id="1" w:name="abstract"/>
      <w:bookmarkEnd w:id="0"/>
      <w:r>
        <w:t>Abstract</w:t>
      </w:r>
    </w:p>
    <w:p w14:paraId="2993C236" w14:textId="2F0DBE15" w:rsidR="00EE616C" w:rsidRDefault="00F41079">
      <w:pPr>
        <w:rPr>
          <w:rFonts w:ascii="Times New Roman" w:hAnsi="Times New Roman"/>
          <w:sz w:val="24"/>
          <w:szCs w:val="24"/>
          <w:lang w:val="en-FR" w:eastAsia="en-GB"/>
        </w:rPr>
      </w:pPr>
      <w:r w:rsidRPr="00F41079">
        <w:rPr>
          <w:rFonts w:ascii="Times New Roman" w:hAnsi="Times New Roman"/>
          <w:sz w:val="24"/>
          <w:szCs w:val="24"/>
          <w:lang w:val="en-FR" w:eastAsia="en-GB"/>
        </w:rPr>
        <w:t>High-dimensional flow cytometry enables systematic characterization of immune cell populations at population scale</w:t>
      </w:r>
      <w:r>
        <w:rPr>
          <w:rFonts w:ascii="Times New Roman" w:hAnsi="Times New Roman"/>
          <w:sz w:val="24"/>
          <w:szCs w:val="24"/>
          <w:lang w:val="en-FR" w:eastAsia="en-GB"/>
        </w:rPr>
        <w:t>. B</w:t>
      </w:r>
      <w:r w:rsidRPr="00F41079">
        <w:rPr>
          <w:rFonts w:ascii="Times New Roman" w:hAnsi="Times New Roman"/>
          <w:sz w:val="24"/>
          <w:szCs w:val="24"/>
          <w:lang w:val="en-FR" w:eastAsia="en-GB"/>
        </w:rPr>
        <w:t>ut realizing this potential requires robust interoperability between interactive gating software and statistical computing environments. CyFj11 is an R package for bidirectional interoperability between FlowJo v11</w:t>
      </w:r>
      <w:r>
        <w:rPr>
          <w:rFonts w:ascii="Times New Roman" w:hAnsi="Times New Roman"/>
          <w:sz w:val="24"/>
          <w:szCs w:val="24"/>
          <w:lang w:val="en-FR" w:eastAsia="en-GB"/>
        </w:rPr>
        <w:t xml:space="preserve">, a standard </w:t>
      </w:r>
      <w:r w:rsidRPr="00F41079">
        <w:rPr>
          <w:rFonts w:ascii="Times New Roman" w:hAnsi="Times New Roman"/>
          <w:sz w:val="24"/>
          <w:szCs w:val="24"/>
          <w:lang w:val="en-FR" w:eastAsia="en-GB"/>
        </w:rPr>
        <w:t>commercial</w:t>
      </w:r>
      <w:r>
        <w:rPr>
          <w:rFonts w:ascii="Times New Roman" w:hAnsi="Times New Roman"/>
          <w:sz w:val="24"/>
          <w:szCs w:val="24"/>
          <w:lang w:val="en-FR" w:eastAsia="en-GB"/>
        </w:rPr>
        <w:t xml:space="preserve"> software for cytometry data analysis,</w:t>
      </w:r>
      <w:r w:rsidRPr="00F41079">
        <w:rPr>
          <w:rFonts w:ascii="Times New Roman" w:hAnsi="Times New Roman"/>
          <w:sz w:val="24"/>
          <w:szCs w:val="24"/>
          <w:lang w:val="en-FR" w:eastAsia="en-GB"/>
        </w:rPr>
        <w:t xml:space="preserve"> and the R/Bioconductor flow cytometry ecosystem. fj11_to_gatingset() parses FlowJo v11 JSON workspaces into GatingSet objects; export_flowjo10_workspace() serializes GatingSet objects to FlowJo v10 XML, preserving gate hierarchies, compensation matrices, and transformation parameters. Validation across 13 synthetic test scenarios and one real-world dataset confirmed high FlowJo v10 export fidelity (mean absolute count difference: 0.024%; 75% exact agreement). FlowJo v11's partial backward compatibility with v10 XML — affecting boolean gates, arcsinh transformations, and certain marker names — was documented; in each case the exported XML was verified as correct by FlowJo v10. CyFj11 is platform-independent, requires no container infrastructure, and is available as open-source software at</w:t>
      </w:r>
      <w:r w:rsidRPr="00F41079">
        <w:rPr>
          <w:rFonts w:ascii="Times New Roman" w:hAnsi="Times New Roman"/>
          <w:sz w:val="24"/>
          <w:szCs w:val="24"/>
          <w:lang w:val="en-FR" w:eastAsia="en-GB"/>
        </w:rPr>
        <w:t xml:space="preserve"> </w:t>
      </w:r>
      <w:r w:rsidR="00EE616C" w:rsidRPr="00EE616C">
        <w:rPr>
          <w:rFonts w:ascii="Times New Roman" w:hAnsi="Times New Roman"/>
          <w:sz w:val="24"/>
          <w:szCs w:val="24"/>
          <w:lang w:val="en-FR" w:eastAsia="en-GB"/>
        </w:rPr>
        <w:t>[</w:t>
      </w:r>
      <w:bookmarkStart w:id="2" w:name="_Hlk234231150"/>
      <w:r w:rsidR="00EE616C" w:rsidRPr="00EE616C">
        <w:rPr>
          <w:rFonts w:ascii="Times New Roman" w:hAnsi="Times New Roman"/>
          <w:sz w:val="24"/>
          <w:szCs w:val="24"/>
          <w:lang w:val="en-FR" w:eastAsia="en-GB"/>
        </w:rPr>
        <w:t>https://github.com/C3BI-pasteur-fr/CyFj11</w:t>
      </w:r>
      <w:bookmarkEnd w:id="2"/>
      <w:r w:rsidR="00EE616C" w:rsidRPr="00EE616C">
        <w:rPr>
          <w:rFonts w:ascii="Times New Roman" w:hAnsi="Times New Roman"/>
          <w:sz w:val="24"/>
          <w:szCs w:val="24"/>
          <w:lang w:val="en-FR" w:eastAsia="en-GB"/>
        </w:rPr>
        <w:t>].</w:t>
      </w:r>
    </w:p>
    <w:p w14:paraId="05C8E42C" w14:textId="77777777" w:rsidR="00EE616C" w:rsidRDefault="00EE616C">
      <w:pPr>
        <w:rPr>
          <w:rFonts w:ascii="Times New Roman" w:hAnsi="Times New Roman"/>
          <w:sz w:val="24"/>
          <w:szCs w:val="24"/>
          <w:lang w:val="en-FR" w:eastAsia="en-GB"/>
        </w:rPr>
      </w:pPr>
    </w:p>
    <w:p w14:paraId="18E806F8" w14:textId="248E6517" w:rsidR="008D041B" w:rsidRDefault="0099442C">
      <w:pPr>
        <w:rPr>
          <w:lang w:val="en-US"/>
        </w:rPr>
      </w:pPr>
      <w:r w:rsidRPr="00977AB2">
        <w:rPr>
          <w:b/>
          <w:bCs/>
          <w:lang w:val="en-US"/>
        </w:rPr>
        <w:t>Keywords:</w:t>
      </w:r>
      <w:r w:rsidRPr="00977AB2">
        <w:rPr>
          <w:lang w:val="en-US"/>
        </w:rPr>
        <w:t xml:space="preserve"> flow cytometry, FlowJo,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DC1950">
      <w:r>
        <w:rPr>
          <w:noProof/>
        </w:rPr>
        <w:lastRenderedPageBreak/>
        <w:pict w14:anchorId="00E6B556">
          <v:rect id="_x0000_i1031" alt="" style="width:451.3pt;height:.05pt;mso-width-percent:0;mso-height-percent:0;mso-width-percent:0;mso-height-percent:0" o:hralign="center" o:hrstd="t" o:hr="t"/>
        </w:pict>
      </w:r>
    </w:p>
    <w:p w14:paraId="3EA577BA" w14:textId="77777777" w:rsidR="0081532D" w:rsidRDefault="0081532D" w:rsidP="0081532D">
      <w:pPr>
        <w:pStyle w:val="Heading1"/>
        <w:rPr>
          <w:rFonts w:ascii="Times New Roman" w:hAnsi="Times New Roman"/>
          <w:lang w:eastAsia="en-GB"/>
        </w:rPr>
      </w:pPr>
      <w:bookmarkStart w:id="3" w:name="introduction"/>
      <w:bookmarkStart w:id="4" w:name="what-cyfj11-provides"/>
      <w:bookmarkEnd w:id="1"/>
      <w:r>
        <w:t>Introduction</w:t>
      </w:r>
    </w:p>
    <w:p w14:paraId="35822A61" w14:textId="6C8719DF" w:rsidR="00F41079" w:rsidRDefault="00F41079" w:rsidP="00F41079">
      <w:pPr>
        <w:pStyle w:val="NormalWeb"/>
      </w:pPr>
      <w:r>
        <w:t>Flow cytometry is a cornerstone technology for characterizing immune cell populations at single-cell resolution. As datasets grow in dimensionality and cohort sizes scale to hundreds of donors, the ability to apply systematic, reproducible gating strategies across samples — and to integrate gating results with statistical and genomic analyses — becomes essential. Population-scale studies linking immune cell phenotypes to genetic variation</w:t>
      </w:r>
      <w:r>
        <w:t xml:space="preserve"> </w:t>
      </w:r>
      <w:r w:rsidR="006B2388">
        <w:fldChar w:fldCharType="begin"/>
      </w:r>
      <w:r w:rsidR="0057764C">
        <w:instrText xml:space="preserve"> ADDIN ZOTERO_ITEM CSL_CITATION {"citationID":"GowhKvrc","properties":{"formattedCitation":"(1)","plainCitation":"(1)","noteIndex":0},"citationItems":[{"id":4713,"uris":["http://zotero.org/groups/2522180/items/YFKEHRC3"],"itemData":{"id":4713,"type":"article-journal","container-title":"Nature Immunology","DOI":"10.1038/s41590-018-0049-7","ISSN":"1529-2908, 1529-2916","issue":"3","journalAbbreviation":"Nat Immunol","language":"en","page":"302-314","source":"DOI.org (Crossref)","title":"Natural variation in the parameters of innate immune cells is preferentially driven by genetic factors","volume":"19","author":[{"literal":"The Milieu Intérieur Consortium"},{"family":"Patin","given":"Etienne"},{"family":"Hasan","given":"Milena"},{"family":"Bergstedt","given":"Jacob"},{"family":"Rouilly","given":"Vincent"},{"family":"Libri","given":"Valentina"},{"family":"Urrutia","given":"Alejandra"},{"family":"Alanio","given":"Cécile"},{"family":"Scepanovic","given":"Petar"},{"family":"Hammer","given":"Christian"},{"family":"Jönsson","given":"Friederike"},{"family":"Beitz","given":"Benoît"},{"family":"Quach","given":"Hélène"},{"family":"Lim","given":"Yoong Wearn"},{"family":"Hunkapiller","given":"Julie"},{"family":"Zepeda","given":"Magge"},{"family":"Green","given":"Cherie"},{"family":"Piasecka","given":"Barbara"},{"family":"Leloup","given":"Claire"},{"family":"Rogge","given":"Lars"},{"family":"Huetz","given":"François"},{"family":"Peguillet","given":"Isabelle"},{"family":"Lantz","given":"Olivier"},{"family":"Fontes","given":"Magnus"},{"family":"Di Santo","given":"James P."},{"family":"Thomas","given":"Stéphanie"},{"family":"Fellay","given":"Jacques"},{"family":"Duffy","given":"Darragh"},{"family":"Quintana-Murci","given":"Lluís"},{"family":"Albert","given":"Matthew L."}],"issued":{"date-parts":[["2018",3]]}}}],"schema":"https://github.com/citation-style-language/schema/raw/master/csl-citation.json"} </w:instrText>
      </w:r>
      <w:r w:rsidR="006B2388">
        <w:fldChar w:fldCharType="separate"/>
      </w:r>
      <w:r w:rsidR="0057764C">
        <w:rPr>
          <w:noProof/>
        </w:rPr>
        <w:t>(1)</w:t>
      </w:r>
      <w:r w:rsidR="006B2388">
        <w:fldChar w:fldCharType="end"/>
      </w:r>
      <w:r>
        <w:t xml:space="preserve"> exemplify both the scientific opportunity and the computational demands that such workflows impose.</w:t>
      </w:r>
    </w:p>
    <w:p w14:paraId="734F16EA" w14:textId="6277EBB4" w:rsidR="00F41079" w:rsidRDefault="00F41079" w:rsidP="00F41079">
      <w:pPr>
        <w:pStyle w:val="NormalWeb"/>
      </w:pPr>
      <w:r>
        <w:t>FlowJo is the standard interactive software for flow cytometry gating, and its v11 release adopts a JSON-based workspace format that no current R/Bioconductor tool can read. CytoML</w:t>
      </w:r>
      <w:r w:rsidR="0057764C">
        <w:t xml:space="preserve"> </w:t>
      </w:r>
      <w:r w:rsidR="0057764C">
        <w:fldChar w:fldCharType="begin"/>
      </w:r>
      <w:r w:rsidR="0057764C">
        <w:instrText xml:space="preserve"> ADDIN ZOTERO_ITEM CSL_CITATION {"citationID":"mImHmFB9","properties":{"formattedCitation":"(2)","plainCitation":"(2)","noteIndex":0},"citationItems":[{"id":3615,"uris":["http://zotero.org/groups/2522180/items/M9245KPS"],"itemData":{"id":3615,"type":"article-journal","abstract":"CytoML is an R/Bioconductor package that enables cross-platform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 CytoML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 CytoML can be used to import gated data from a publicly accessible mass cytometry experiment from Cytobank. CytoML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A","DOI":"10.1002/cyto.a.23663","ISSN":"1552-4930","issue":"12","language":"en","license":"© 2018 The Authors. Cytometry Part A published by Wiley Periodicals, Inc. on behalf of International Society for Advancement of Cytometry.","page":"1189-1196","source":"Wiley Online Library","title":"CytoML for cross-platform cytometry data sharing","volume":"93","author":[{"family":"Finak","given":"Greg"},{"family":"Jiang","given":"Wenxin"},{"family":"Gottardo","given":"Raphael"}],"issued":{"date-parts":[["2018"]]}}}],"schema":"https://github.com/citation-style-language/schema/raw/master/csl-citation.json"} </w:instrText>
      </w:r>
      <w:r w:rsidR="0057764C">
        <w:fldChar w:fldCharType="separate"/>
      </w:r>
      <w:r w:rsidR="0057764C">
        <w:rPr>
          <w:noProof/>
        </w:rPr>
        <w:t>(2)</w:t>
      </w:r>
      <w:r w:rsidR="0057764C">
        <w:fldChar w:fldCharType="end"/>
      </w:r>
      <w:r>
        <w:t xml:space="preserve"> — the primary Bioconductor gateway for FlowJo data — supports only the v10 XML format and is additionally constrained by Docker-dependent compiled components that are unsupported on macOS Apple Silicon. Researchers who gate in FlowJo v11 therefore lack a maintained pathway to import gating hierarchies into R or to return R-derived results to FlowJo without manual reconstruction.</w:t>
      </w:r>
    </w:p>
    <w:p w14:paraId="1069AC9F" w14:textId="10229B80" w:rsidR="00F41079" w:rsidRDefault="00F41079" w:rsidP="00F41079">
      <w:pPr>
        <w:pStyle w:val="NormalWeb"/>
      </w:pPr>
      <w:r>
        <w:t>CyFj11 addresses this with two functions: fj11_to_gatingset(), which imports a v11 workspace as GatingSet objects</w:t>
      </w:r>
      <w:r w:rsidR="0057764C">
        <w:t xml:space="preserve"> </w:t>
      </w:r>
      <w:r w:rsidR="00EE30F6">
        <w:fldChar w:fldCharType="begin"/>
      </w:r>
      <w:r w:rsidR="00EE30F6">
        <w:instrText xml:space="preserve"> ADDIN ZOTERO_ITEM CSL_CITATION {"citationID":"DF4AnaAn","properties":{"formattedCitation":"(3)","plainCitation":"(3)","noteIndex":0},"citationItems":[{"id":4714,"uris":["http://zotero.org/groups/2522180/items/JXLCQZCU"],"itemData":{"id":4714,"type":"software","note":"DOI: 10.18129/B9.BIOC.FLOWWORKSPACE","publisher":"Bioconductor","source":"DOI.org (Datacite)","title":"flowWorkspace","URL":"https://bioconductor.org/packages/flowWorkspace","author":[{"family":"Greg Finak","given":"Mike Jiang"}],"accessed":{"date-parts":[["2026",7,6]]},"issued":{"date-parts":[["2017"]]}}}],"schema":"https://github.com/citation-style-language/schema/raw/master/csl-citation.json"} </w:instrText>
      </w:r>
      <w:r w:rsidR="00EE30F6">
        <w:fldChar w:fldCharType="separate"/>
      </w:r>
      <w:r w:rsidR="00EE30F6">
        <w:rPr>
          <w:noProof/>
        </w:rPr>
        <w:t>(3)</w:t>
      </w:r>
      <w:r w:rsidR="00EE30F6">
        <w:fldChar w:fldCharType="end"/>
      </w:r>
      <w:r>
        <w:t xml:space="preserve">, and export_flowjo10_workspace(), which writes a GatingSet to FlowJo v10-compatible XML (Figure 1). The package requires no external dependencies beyond standard Bioconductor infrastructure, is fully compatible with openCyto </w:t>
      </w:r>
      <w:r w:rsidR="00EE30F6">
        <w:fldChar w:fldCharType="begin"/>
      </w:r>
      <w:r w:rsidR="00EE30F6">
        <w:instrText xml:space="preserve"> ADDIN ZOTERO_ITEM CSL_CITATION {"citationID":"BqAgJMq0","properties":{"formattedCitation":"(4)","plainCitation":"(4)","noteIndex":0},"citationItems":[{"id":4715,"uris":["http://zotero.org/groups/2522180/items/VJ2BLY7C"],"itemData":{"id":4715,"type":"article-journal","container-title":"PLoS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00EE30F6">
        <w:fldChar w:fldCharType="separate"/>
      </w:r>
      <w:r w:rsidR="00EE30F6">
        <w:rPr>
          <w:noProof/>
        </w:rPr>
        <w:t>(4)</w:t>
      </w:r>
      <w:r w:rsidR="00EE30F6">
        <w:fldChar w:fldCharType="end"/>
      </w:r>
      <w:r w:rsidR="00EE30F6">
        <w:t xml:space="preserve"> </w:t>
      </w:r>
      <w:r>
        <w:t>and flowWorkspace, and supports both high-throughput quality control of manually gated files and round-trip R ↔ FlowJo workflows.</w:t>
      </w:r>
    </w:p>
    <w:p w14:paraId="684FD867" w14:textId="746C17F5" w:rsidR="008D041B" w:rsidRPr="00086105" w:rsidRDefault="00A111BB">
      <w:pPr>
        <w:rPr>
          <w:lang w:val="en-US"/>
        </w:rPr>
      </w:pPr>
      <w:r w:rsidRPr="00A111BB">
        <w:rPr>
          <w:lang w:val="en-US"/>
        </w:rPr>
        <w:drawing>
          <wp:inline distT="0" distB="0" distL="0" distR="0" wp14:anchorId="71E0065D" wp14:editId="0701986E">
            <wp:extent cx="5760720" cy="2930525"/>
            <wp:effectExtent l="0" t="0" r="5080" b="3175"/>
            <wp:docPr id="1468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641" name=""/>
                    <pic:cNvPicPr/>
                  </pic:nvPicPr>
                  <pic:blipFill>
                    <a:blip r:embed="rId12"/>
                    <a:stretch>
                      <a:fillRect/>
                    </a:stretch>
                  </pic:blipFill>
                  <pic:spPr>
                    <a:xfrm>
                      <a:off x="0" y="0"/>
                      <a:ext cx="5760720" cy="2930525"/>
                    </a:xfrm>
                    <a:prstGeom prst="rect">
                      <a:avLst/>
                    </a:prstGeom>
                  </pic:spPr>
                </pic:pic>
              </a:graphicData>
            </a:graphic>
          </wp:inline>
        </w:drawing>
      </w:r>
    </w:p>
    <w:p w14:paraId="6B985CEE" w14:textId="402FAC5D" w:rsidR="007E109E" w:rsidRPr="001B47E7" w:rsidRDefault="007E109E" w:rsidP="0057764C">
      <w:pPr>
        <w:pStyle w:val="NormalWeb"/>
      </w:pPr>
      <w:r>
        <w:rPr>
          <w:rStyle w:val="Strong"/>
        </w:rPr>
        <w:t>Figure 1:</w:t>
      </w:r>
      <w:r>
        <w:t xml:space="preserve"> </w:t>
      </w:r>
      <w:r w:rsidR="00A111BB" w:rsidRPr="00A111BB">
        <w:t xml:space="preserve">Figure 1. CyFj11 workflow overview. Arrow A: fj11_to_gatingset() reads a FlowJo v11 .flowjo workspace into R as a GatingSet object. Arrow B: export_flowjo10_workspace() writes a GatingSet to a FlowJo v10-compatible .wsp XML file. Arrow C (dashed): the </w:t>
      </w:r>
      <w:r w:rsidR="00A111BB" w:rsidRPr="00A111BB">
        <w:lastRenderedPageBreak/>
        <w:t>exported .wsp can be opened in FlowJo v11; this step is performed outside R and is subject to FlowJo v11's partial backward compatibility with the v10 format (see Limitations).</w:t>
      </w:r>
    </w:p>
    <w:p w14:paraId="71F89979" w14:textId="77777777" w:rsidR="007A021B" w:rsidRPr="007A021B" w:rsidRDefault="007A021B" w:rsidP="007A021B">
      <w:pPr>
        <w:pStyle w:val="Heading1"/>
      </w:pPr>
      <w:r w:rsidRPr="007A021B">
        <w:t>Software Description</w:t>
      </w:r>
    </w:p>
    <w:p w14:paraId="6924B56F" w14:textId="77777777" w:rsidR="007A021B" w:rsidRPr="007A021B" w:rsidRDefault="007A021B" w:rsidP="007A021B">
      <w:pPr>
        <w:rPr>
          <w:rFonts w:ascii="Times New Roman" w:hAnsi="Times New Roman"/>
          <w:sz w:val="24"/>
          <w:szCs w:val="24"/>
          <w:lang w:val="en-FR" w:eastAsia="en-GB"/>
        </w:rPr>
      </w:pPr>
      <w:r w:rsidRPr="007A021B">
        <w:rPr>
          <w:rFonts w:ascii="Times New Roman" w:hAnsi="Times New Roman"/>
          <w:sz w:val="24"/>
          <w:szCs w:val="24"/>
          <w:lang w:val="en-FR" w:eastAsia="en-GB"/>
        </w:rPr>
        <w:t>fj11_to_gatingset() parses the JSON structure of a .flowjo file, reconstructing gate hierarchies, transformation parameters, and sample assignments as flowWorkspace GatingSet objects. Because FlowJo v11 supports per-sample tailored gates, the function returns a list of per-sample GatingSet objects; users can merge via flowWorkspace::merge_list_to_gs() when a single object is required.</w:t>
      </w:r>
    </w:p>
    <w:p w14:paraId="4051548B" w14:textId="77777777" w:rsidR="007A021B" w:rsidRPr="007A021B" w:rsidRDefault="007A021B" w:rsidP="007A021B">
      <w:pPr>
        <w:rPr>
          <w:rFonts w:ascii="Times New Roman" w:hAnsi="Times New Roman"/>
          <w:sz w:val="24"/>
          <w:szCs w:val="24"/>
          <w:lang w:val="en-FR" w:eastAsia="en-GB"/>
        </w:rPr>
      </w:pPr>
    </w:p>
    <w:p w14:paraId="0546A76C" w14:textId="0B251D95" w:rsidR="00E7239E" w:rsidRPr="00E7239E" w:rsidRDefault="007A021B" w:rsidP="007A021B">
      <w:pPr>
        <w:rPr>
          <w:rFonts w:ascii="Times New Roman" w:hAnsi="Times New Roman"/>
          <w:sz w:val="24"/>
          <w:szCs w:val="24"/>
          <w:lang w:val="en-FR" w:eastAsia="en-GB"/>
        </w:rPr>
      </w:pPr>
      <w:r w:rsidRPr="007A021B">
        <w:rPr>
          <w:rFonts w:ascii="Times New Roman" w:hAnsi="Times New Roman"/>
          <w:sz w:val="24"/>
          <w:szCs w:val="24"/>
          <w:lang w:val="en-FR" w:eastAsia="en-GB"/>
        </w:rPr>
        <w:t>export_flowjo10_workspace() serializes a GatingSet to FlowJo v10 XML, replicating FlowJo v10's native element structure, namespace conventions, and transformation encodings. Supported gate types include rectangle, polygon, ellipsoid, range, and boolean. Compensation matrices and all transformation parameters are preserved. Quadrant gates and per-sample gate variations cannot be represented in v10 XML and are respectively omitted or collapsed to group-level on export (see Limitations). For v10 workspace import, CyFj11 delegates to CytoML::flowjo_to_gatingset().</w:t>
      </w:r>
      <w:r w:rsidR="00DC1950" w:rsidRPr="00DC1950">
        <w:rPr>
          <w:rFonts w:ascii="Times New Roman" w:hAnsi="Times New Roman"/>
          <w:noProof/>
          <w:sz w:val="24"/>
          <w:szCs w:val="24"/>
          <w:lang w:val="en-FR" w:eastAsia="en-GB"/>
        </w:rPr>
        <w:pict w14:anchorId="5555A80C">
          <v:rect id="_x0000_i1030" alt="" style="width:451.3pt;height:.05pt;mso-width-percent:0;mso-height-percent:0;mso-width-percent:0;mso-height-percent:0" o:hralign="center" o:hrstd="t" o:hr="t" fillcolor="#a0a0a0" stroked="f"/>
        </w:pict>
      </w:r>
    </w:p>
    <w:p w14:paraId="777CBEF6" w14:textId="77777777" w:rsidR="007A021B" w:rsidRPr="007A021B" w:rsidRDefault="007A021B" w:rsidP="007A021B">
      <w:pPr>
        <w:pStyle w:val="Heading1"/>
      </w:pPr>
      <w:r w:rsidRPr="007A021B">
        <w:t>Validation</w:t>
      </w:r>
    </w:p>
    <w:p w14:paraId="07B6D616" w14:textId="5314D908" w:rsidR="007A021B" w:rsidRPr="007A021B" w:rsidRDefault="007A021B" w:rsidP="007A021B">
      <w:pPr>
        <w:rPr>
          <w:lang w:val="en-FR"/>
        </w:rPr>
      </w:pPr>
      <w:r w:rsidRPr="007A021B">
        <w:rPr>
          <w:b/>
          <w:bCs/>
          <w:lang w:val="en-FR"/>
        </w:rPr>
        <w:t>Design</w:t>
      </w:r>
      <w:r w:rsidRPr="007A021B">
        <w:rPr>
          <w:lang w:val="en-FR"/>
        </w:rPr>
        <w:t xml:space="preserve">. Thirteen synthetic test scenarios covered all supported gate types (rectangle, polygon, ellipsoid, range, boolean) and transformation types (linear, biexponential, log, arcsinh) in isolation and combination, including hierarchical and boolean configurations (full descriptions in Appendix A). Test 14 used the FlowSOM </w:t>
      </w:r>
      <w:r w:rsidR="00EE30F6">
        <w:rPr>
          <w:lang w:val="en-FR"/>
        </w:rPr>
        <w:fldChar w:fldCharType="begin"/>
      </w:r>
      <w:r w:rsidR="00EE30F6">
        <w:rPr>
          <w:lang w:val="en-FR"/>
        </w:rPr>
        <w:instrText xml:space="preserve"> ADDIN ZOTERO_ITEM CSL_CITATION {"citationID":"vuABOkE8","properties":{"formattedCitation":"(5)","plainCitation":"(5)","noteIndex":0},"citationItems":[{"id":4717,"uris":["http://zotero.org/groups/2522180/items/9S7VHNEU"],"itemData":{"id":4717,"type":"article-journal","abstract":"Abstract\n            \n              The number of markers measured in both flow and mass cytometry keeps increasing steadily. Although this provides a wealth of information, it becomes infeasible to analyze these datasets manually. When using 2D scatter plots, the number of possible plots increases exponentially with the number of markers and therefore, relevant information that is present in the data might be missed. In this article, we introduce a new visualization technique, called FlowSOM, which analyzes Flow or mass cytometry data using a Self</w:instrText>
      </w:r>
      <w:r w:rsidR="00EE30F6">
        <w:rPr>
          <w:rFonts w:ascii="Cambria Math" w:hAnsi="Cambria Math" w:cs="Cambria Math"/>
          <w:lang w:val="en-FR"/>
        </w:rPr>
        <w:instrText>‐</w:instrText>
      </w:r>
      <w:r w:rsidR="00EE30F6">
        <w:rPr>
          <w:lang w:val="en-FR"/>
        </w:rPr>
        <w:instrText>Organizing Map. Using a two</w:instrText>
      </w:r>
      <w:r w:rsidR="00EE30F6">
        <w:rPr>
          <w:rFonts w:ascii="Cambria Math" w:hAnsi="Cambria Math" w:cs="Cambria Math"/>
          <w:lang w:val="en-FR"/>
        </w:rPr>
        <w:instrText>‐</w:instrText>
      </w:r>
      <w:r w:rsidR="00EE30F6">
        <w:rPr>
          <w:lang w:val="en-FR"/>
        </w:rPr>
        <w:instrText>level clustering and star charts, our algorithm helps to obtain a clear overview of how all markers are behaving on all cells, and to detect subsets that might be missed otherwise. R code is available at\n              https://github.com/SofieVG/FlowSOM\n              and will be made available at Bioconductor. © 2015 International Society for Advancement of Cytometry","container-title":"Cytometry Part A","DOI":"10.1002/cyto.a.22625","ISSN":"1552-4922, 1552-4930","issue":"7","journalAbbreviation":"Cytometry Pt A","language":"en","license":"http://onlinelibrary.wiley.com/termsAndConditions#vor","page":"636-645","source":"DOI.org (Crossref)","title":"FlowSOM: Using self</w:instrText>
      </w:r>
      <w:r w:rsidR="00EE30F6">
        <w:rPr>
          <w:rFonts w:ascii="Cambria Math" w:hAnsi="Cambria Math" w:cs="Cambria Math"/>
          <w:lang w:val="en-FR"/>
        </w:rPr>
        <w:instrText>‐</w:instrText>
      </w:r>
      <w:r w:rsidR="00EE30F6">
        <w:rPr>
          <w:lang w:val="en-FR"/>
        </w:rPr>
        <w:instrText xml:space="preserve">organizing maps for visualization and interpretation of cytometry data","title-short":"FlowSOM","volume":"87","author":[{"family":"Van Gassen","given":"Sofie"},{"family":"Callebaut","given":"Britt"},{"family":"Van Helden","given":"Mary J."},{"family":"Lambrecht","given":"Bart N."},{"family":"Demeester","given":"Piet"},{"family":"Dhaene","given":"Tom"},{"family":"Saeys","given":"Yvan"}],"issued":{"date-parts":[["2015",7]]}}}],"schema":"https://github.com/citation-style-language/schema/raw/master/csl-citation.json"} </w:instrText>
      </w:r>
      <w:r w:rsidR="00EE30F6">
        <w:rPr>
          <w:lang w:val="en-FR"/>
        </w:rPr>
        <w:fldChar w:fldCharType="separate"/>
      </w:r>
      <w:r w:rsidR="00EE30F6">
        <w:rPr>
          <w:noProof/>
          <w:lang w:val="en-FR"/>
        </w:rPr>
        <w:t>(5)</w:t>
      </w:r>
      <w:r w:rsidR="00EE30F6">
        <w:rPr>
          <w:lang w:val="en-FR"/>
        </w:rPr>
        <w:fldChar w:fldCharType="end"/>
      </w:r>
      <w:r>
        <w:rPr>
          <w:lang w:val="en-FR"/>
        </w:rPr>
        <w:t xml:space="preserve"> </w:t>
      </w:r>
      <w:r w:rsidRPr="007A021B">
        <w:rPr>
          <w:lang w:val="en-FR"/>
        </w:rPr>
        <w:t>example dataset (mouse bone marrow immunophenotyping; 15 populations across scatter and compensated fluorescence channels) to validate the full CytoML → CyFj11 round-trip pipeline and compensation matrix export. All source code, FCS files, and workspaces are deposited at https://doi.org/10.5281/zenodo.20933199.</w:t>
      </w:r>
    </w:p>
    <w:p w14:paraId="0C3FC111" w14:textId="77777777" w:rsidR="007A021B" w:rsidRPr="007A021B" w:rsidRDefault="007A021B" w:rsidP="007A021B">
      <w:pPr>
        <w:rPr>
          <w:lang w:val="en-FR"/>
        </w:rPr>
      </w:pPr>
    </w:p>
    <w:p w14:paraId="04DE7010" w14:textId="69CAB3A5" w:rsidR="007A021B" w:rsidRPr="007A021B" w:rsidRDefault="007A021B" w:rsidP="007A021B">
      <w:pPr>
        <w:rPr>
          <w:lang w:val="en-FR"/>
        </w:rPr>
      </w:pPr>
      <w:r w:rsidRPr="007A021B">
        <w:rPr>
          <w:b/>
          <w:bCs/>
          <w:lang w:val="en-FR"/>
        </w:rPr>
        <w:t>FlowJo v10</w:t>
      </w:r>
      <w:r w:rsidRPr="007A021B">
        <w:rPr>
          <w:lang w:val="en-FR"/>
        </w:rPr>
        <w:t xml:space="preserve">. </w:t>
      </w:r>
      <w:r w:rsidR="00EE30F6" w:rsidRPr="00EE30F6">
        <w:rPr>
          <w:lang w:val="en-FR"/>
        </w:rPr>
        <w:t xml:space="preserve">For each test scenario, the CyFj11-exported .wsp file was opened in FlowJo v10 and population counts were recorded manually for comparison against the R ground truth. </w:t>
      </w:r>
      <w:r w:rsidRPr="007A021B">
        <w:rPr>
          <w:lang w:val="en-FR"/>
        </w:rPr>
        <w:t xml:space="preserve">Of 20 evaluated populations across tests 01–13, 15 showed exact count agreement with R (75%); the remaining five differed by at most 14 cells (max 0.30%; mean absolute difference: 0.024%). </w:t>
      </w:r>
      <w:r w:rsidR="00EE30F6" w:rsidRPr="00EE30F6">
        <w:rPr>
          <w:lang w:val="en-FR"/>
        </w:rPr>
        <w:t>These residual differences are consistent with floating-point precision effects at gate boundaries, where cells falling at or very near a gate edge may be classified differently by R and FlowJo due to platform-specific handling of boundary inclusion; they do not indicate coordinate errors in the exported XML.</w:t>
      </w:r>
      <w:r w:rsidR="00EE30F6">
        <w:rPr>
          <w:lang w:val="en-FR"/>
        </w:rPr>
        <w:t xml:space="preserve"> </w:t>
      </w:r>
      <w:r w:rsidRPr="007A021B">
        <w:rPr>
          <w:lang w:val="en-FR"/>
        </w:rPr>
        <w:t>In Test 14, 12 of 15 populations showed exact agreement; all 12 fluorescence-channel populations were exactly reproduced, supporting correct compensation matrix preservation. Element-wise comparison of the exported spillover matrix confirmed identity with the original (Appendix B).</w:t>
      </w:r>
    </w:p>
    <w:p w14:paraId="647DC2D8" w14:textId="77777777" w:rsidR="007A021B" w:rsidRPr="007A021B" w:rsidRDefault="007A021B" w:rsidP="007A021B">
      <w:pPr>
        <w:rPr>
          <w:lang w:val="en-FR"/>
        </w:rPr>
      </w:pPr>
    </w:p>
    <w:p w14:paraId="47A8B8AD" w14:textId="2318E3FF" w:rsidR="007A021B" w:rsidRPr="007A021B" w:rsidRDefault="007A021B" w:rsidP="007A021B">
      <w:pPr>
        <w:rPr>
          <w:color w:val="EE0000"/>
          <w:lang w:val="en-FR"/>
        </w:rPr>
      </w:pPr>
      <w:r w:rsidRPr="007A021B">
        <w:rPr>
          <w:b/>
          <w:bCs/>
          <w:lang w:val="en-FR"/>
        </w:rPr>
        <w:t>FlowJo v11</w:t>
      </w:r>
      <w:r w:rsidRPr="007A021B">
        <w:rPr>
          <w:color w:val="EE0000"/>
          <w:lang w:val="en-FR"/>
        </w:rPr>
        <w:t xml:space="preserve">. </w:t>
      </w:r>
      <w:r w:rsidRPr="00EE30F6">
        <w:rPr>
          <w:lang w:val="en-FR"/>
        </w:rPr>
        <w:t>Boolean and arcsinh gates were excluded from FJ11 comparison owing to FJ11-side import failures (see Limitation 3).</w:t>
      </w:r>
      <w:r w:rsidRPr="007A021B">
        <w:rPr>
          <w:color w:val="EE0000"/>
          <w:lang w:val="en-FR"/>
        </w:rPr>
        <w:t xml:space="preserve"> Of the remaining 20 populations, </w:t>
      </w:r>
      <w:r w:rsidR="00130703">
        <w:rPr>
          <w:color w:val="EE0000"/>
          <w:lang w:val="en-FR"/>
        </w:rPr>
        <w:t>5</w:t>
      </w:r>
      <w:r w:rsidRPr="007A021B">
        <w:rPr>
          <w:color w:val="EE0000"/>
          <w:lang w:val="en-FR"/>
        </w:rPr>
        <w:t xml:space="preserve"> showed exact agreement (2</w:t>
      </w:r>
      <w:r w:rsidR="00130703">
        <w:rPr>
          <w:color w:val="EE0000"/>
          <w:lang w:val="en-FR"/>
        </w:rPr>
        <w:t>5</w:t>
      </w:r>
      <w:r w:rsidRPr="007A021B">
        <w:rPr>
          <w:color w:val="EE0000"/>
          <w:lang w:val="en-FR"/>
        </w:rPr>
        <w:t>%) and 11 differed by ≤0.3% (55%)</w:t>
      </w:r>
      <w:r w:rsidR="00130703" w:rsidRPr="00130703">
        <w:rPr>
          <w:lang w:val="en-US"/>
        </w:rPr>
        <w:t xml:space="preserve"> </w:t>
      </w:r>
      <w:r w:rsidR="00130703" w:rsidRPr="00130703">
        <w:rPr>
          <w:color w:val="EE0000"/>
          <w:lang w:val="en-FR"/>
        </w:rPr>
        <w:t>, leaving 4 populations (20%) with discrepancies exceeding 0.3%</w:t>
      </w:r>
      <w:r w:rsidRPr="007A021B">
        <w:rPr>
          <w:color w:val="EE0000"/>
          <w:lang w:val="en-FR"/>
        </w:rPr>
        <w:t>. Full per-population data are in Appendix B, Table B1.</w:t>
      </w:r>
    </w:p>
    <w:p w14:paraId="2EC1A761" w14:textId="77777777" w:rsidR="007A021B" w:rsidRPr="007A021B" w:rsidRDefault="007A021B" w:rsidP="007A021B">
      <w:pPr>
        <w:rPr>
          <w:lang w:val="en-FR"/>
        </w:rPr>
      </w:pPr>
    </w:p>
    <w:p w14:paraId="563F089B" w14:textId="77777777" w:rsidR="007A021B" w:rsidRPr="007A021B" w:rsidRDefault="007A021B" w:rsidP="007A021B">
      <w:pPr>
        <w:rPr>
          <w:lang w:val="en-FR"/>
        </w:rPr>
      </w:pPr>
      <w:r w:rsidRPr="007A021B">
        <w:rPr>
          <w:b/>
          <w:bCs/>
          <w:lang w:val="en-FR"/>
        </w:rPr>
        <w:t>Standards compliance</w:t>
      </w:r>
      <w:r w:rsidRPr="007A021B">
        <w:rPr>
          <w:lang w:val="en-FR"/>
        </w:rPr>
        <w:t>. All 50 applicable Gating-ML 2.0 structural checks passed across the 13 test workspaces (Appendix C).</w:t>
      </w:r>
    </w:p>
    <w:p w14:paraId="4B3A1061" w14:textId="77777777" w:rsidR="007A021B" w:rsidRPr="007A021B" w:rsidRDefault="007A021B" w:rsidP="007A021B">
      <w:pPr>
        <w:rPr>
          <w:lang w:val="en-FR"/>
        </w:rPr>
      </w:pPr>
    </w:p>
    <w:p w14:paraId="0D932C90" w14:textId="77777777" w:rsidR="007A021B" w:rsidRPr="007A021B" w:rsidRDefault="007A021B" w:rsidP="007A021B">
      <w:pPr>
        <w:rPr>
          <w:lang w:val="en-FR"/>
        </w:rPr>
      </w:pPr>
      <w:r w:rsidRPr="007A021B">
        <w:rPr>
          <w:lang w:val="en-FR"/>
        </w:rPr>
        <w:lastRenderedPageBreak/>
        <w:t>Table 1. Validation summary. Boolean and arcsinh gates excluded from FJ11 comparison (FJ11 import failures). † Excluding test12 PE_hi (47% anomaly; FJ11 import-time error, resolved by manual revision within FJ11). FJ11 Test 14 scatter-only: 3 populations.</w:t>
      </w:r>
    </w:p>
    <w:tbl>
      <w:tblPr>
        <w:tblStyle w:val="TableGrid"/>
        <w:tblW w:w="0" w:type="auto"/>
        <w:tblLook w:val="04A0" w:firstRow="1" w:lastRow="0" w:firstColumn="1" w:lastColumn="0" w:noHBand="0" w:noVBand="1"/>
      </w:tblPr>
      <w:tblGrid>
        <w:gridCol w:w="2265"/>
        <w:gridCol w:w="2265"/>
        <w:gridCol w:w="2266"/>
        <w:gridCol w:w="2266"/>
      </w:tblGrid>
      <w:tr w:rsidR="007A021B" w14:paraId="5EAE6CEF" w14:textId="77777777" w:rsidTr="007A021B">
        <w:tc>
          <w:tcPr>
            <w:tcW w:w="2265" w:type="dxa"/>
          </w:tcPr>
          <w:p w14:paraId="3AB8B5E6" w14:textId="7D54CD31" w:rsidR="007A021B" w:rsidRDefault="007A021B" w:rsidP="007A021B">
            <w:pPr>
              <w:rPr>
                <w:lang w:val="en-FR"/>
              </w:rPr>
            </w:pPr>
            <w:r w:rsidRPr="008D2815">
              <w:t>Metric</w:t>
            </w:r>
          </w:p>
        </w:tc>
        <w:tc>
          <w:tcPr>
            <w:tcW w:w="2265" w:type="dxa"/>
          </w:tcPr>
          <w:p w14:paraId="5B27116B" w14:textId="3950C4A4" w:rsidR="007A021B" w:rsidRDefault="007A021B" w:rsidP="007A021B">
            <w:pPr>
              <w:rPr>
                <w:lang w:val="en-FR"/>
              </w:rPr>
            </w:pPr>
            <w:r w:rsidRPr="008D2815">
              <w:t>FJ10, Tests 01–13</w:t>
            </w:r>
          </w:p>
        </w:tc>
        <w:tc>
          <w:tcPr>
            <w:tcW w:w="2266" w:type="dxa"/>
          </w:tcPr>
          <w:p w14:paraId="04D4200C" w14:textId="6A949A5F" w:rsidR="007A021B" w:rsidRDefault="007A021B" w:rsidP="007A021B">
            <w:pPr>
              <w:rPr>
                <w:lang w:val="en-FR"/>
              </w:rPr>
            </w:pPr>
            <w:r w:rsidRPr="008D2815">
              <w:t>FJ11, Tests 01–13*</w:t>
            </w:r>
          </w:p>
        </w:tc>
        <w:tc>
          <w:tcPr>
            <w:tcW w:w="2266" w:type="dxa"/>
          </w:tcPr>
          <w:p w14:paraId="58DE2E98" w14:textId="61F323B3" w:rsidR="007A021B" w:rsidRDefault="007A021B" w:rsidP="007A021B">
            <w:pPr>
              <w:rPr>
                <w:lang w:val="en-FR"/>
              </w:rPr>
            </w:pPr>
            <w:r w:rsidRPr="008D2815">
              <w:t>FJ10, Test 14</w:t>
            </w:r>
          </w:p>
        </w:tc>
      </w:tr>
      <w:tr w:rsidR="007A021B" w14:paraId="1C87E293" w14:textId="77777777" w:rsidTr="007A021B">
        <w:tc>
          <w:tcPr>
            <w:tcW w:w="2265" w:type="dxa"/>
          </w:tcPr>
          <w:p w14:paraId="6496065B" w14:textId="47AD672A" w:rsidR="007A021B" w:rsidRDefault="007A021B" w:rsidP="007A021B">
            <w:pPr>
              <w:rPr>
                <w:lang w:val="en-FR"/>
              </w:rPr>
            </w:pPr>
            <w:r w:rsidRPr="008D2815">
              <w:t>Populations compared</w:t>
            </w:r>
          </w:p>
        </w:tc>
        <w:tc>
          <w:tcPr>
            <w:tcW w:w="2265" w:type="dxa"/>
          </w:tcPr>
          <w:p w14:paraId="6A7EC2B9" w14:textId="625B87A1" w:rsidR="007A021B" w:rsidRDefault="007A021B" w:rsidP="007A021B">
            <w:pPr>
              <w:rPr>
                <w:lang w:val="en-FR"/>
              </w:rPr>
            </w:pPr>
            <w:r w:rsidRPr="008D2815">
              <w:t>20</w:t>
            </w:r>
          </w:p>
        </w:tc>
        <w:tc>
          <w:tcPr>
            <w:tcW w:w="2266" w:type="dxa"/>
          </w:tcPr>
          <w:p w14:paraId="1C01221A" w14:textId="6C6F0F5E" w:rsidR="007A021B" w:rsidRDefault="007A021B" w:rsidP="007A021B">
            <w:pPr>
              <w:rPr>
                <w:lang w:val="en-FR"/>
              </w:rPr>
            </w:pPr>
            <w:r w:rsidRPr="008D2815">
              <w:t>20</w:t>
            </w:r>
          </w:p>
        </w:tc>
        <w:tc>
          <w:tcPr>
            <w:tcW w:w="2266" w:type="dxa"/>
          </w:tcPr>
          <w:p w14:paraId="728612B0" w14:textId="7BAD67DB" w:rsidR="007A021B" w:rsidRDefault="007A021B" w:rsidP="007A021B">
            <w:pPr>
              <w:rPr>
                <w:lang w:val="en-FR"/>
              </w:rPr>
            </w:pPr>
            <w:r w:rsidRPr="008D2815">
              <w:t>15</w:t>
            </w:r>
          </w:p>
        </w:tc>
      </w:tr>
      <w:tr w:rsidR="007A021B" w14:paraId="4F44A2BA" w14:textId="77777777" w:rsidTr="007A021B">
        <w:tc>
          <w:tcPr>
            <w:tcW w:w="2265" w:type="dxa"/>
          </w:tcPr>
          <w:p w14:paraId="240BE5D0" w14:textId="46762D2D" w:rsidR="007A021B" w:rsidRDefault="007A021B" w:rsidP="007A021B">
            <w:pPr>
              <w:rPr>
                <w:lang w:val="en-FR"/>
              </w:rPr>
            </w:pPr>
            <w:r w:rsidRPr="008D2815">
              <w:t>Exact agreement</w:t>
            </w:r>
          </w:p>
        </w:tc>
        <w:tc>
          <w:tcPr>
            <w:tcW w:w="2265" w:type="dxa"/>
          </w:tcPr>
          <w:p w14:paraId="777C302E" w14:textId="3EAFF17D" w:rsidR="007A021B" w:rsidRDefault="007A021B" w:rsidP="007A021B">
            <w:pPr>
              <w:rPr>
                <w:lang w:val="en-FR"/>
              </w:rPr>
            </w:pPr>
            <w:r w:rsidRPr="008D2815">
              <w:t>15 (75%)</w:t>
            </w:r>
          </w:p>
        </w:tc>
        <w:tc>
          <w:tcPr>
            <w:tcW w:w="2266" w:type="dxa"/>
          </w:tcPr>
          <w:p w14:paraId="725149D2" w14:textId="46E96678" w:rsidR="007A021B" w:rsidRDefault="00130703" w:rsidP="007A021B">
            <w:pPr>
              <w:rPr>
                <w:lang w:val="en-FR"/>
              </w:rPr>
            </w:pPr>
            <w:r>
              <w:t>5</w:t>
            </w:r>
            <w:r w:rsidR="007A021B" w:rsidRPr="008D2815">
              <w:t xml:space="preserve"> (2</w:t>
            </w:r>
            <w:r>
              <w:t>5</w:t>
            </w:r>
            <w:r w:rsidR="007A021B" w:rsidRPr="008D2815">
              <w:t>%)</w:t>
            </w:r>
          </w:p>
        </w:tc>
        <w:tc>
          <w:tcPr>
            <w:tcW w:w="2266" w:type="dxa"/>
          </w:tcPr>
          <w:p w14:paraId="3389F9E5" w14:textId="0EF30321" w:rsidR="007A021B" w:rsidRDefault="007A021B" w:rsidP="007A021B">
            <w:pPr>
              <w:rPr>
                <w:lang w:val="en-FR"/>
              </w:rPr>
            </w:pPr>
            <w:r w:rsidRPr="008D2815">
              <w:t>12 (80%)</w:t>
            </w:r>
          </w:p>
        </w:tc>
      </w:tr>
      <w:tr w:rsidR="007A021B" w14:paraId="213B650C" w14:textId="77777777" w:rsidTr="007A021B">
        <w:tc>
          <w:tcPr>
            <w:tcW w:w="2265" w:type="dxa"/>
          </w:tcPr>
          <w:p w14:paraId="17239FED" w14:textId="1BCBB26D" w:rsidR="007A021B" w:rsidRDefault="007A021B" w:rsidP="007A021B">
            <w:pPr>
              <w:rPr>
                <w:lang w:val="en-FR"/>
              </w:rPr>
            </w:pPr>
            <w:r w:rsidRPr="008D2815">
              <w:t>Difference ≤ 0.3%</w:t>
            </w:r>
          </w:p>
        </w:tc>
        <w:tc>
          <w:tcPr>
            <w:tcW w:w="2265" w:type="dxa"/>
          </w:tcPr>
          <w:p w14:paraId="4CBAFF38" w14:textId="7088C43B" w:rsidR="007A021B" w:rsidRDefault="007A021B" w:rsidP="007A021B">
            <w:pPr>
              <w:rPr>
                <w:lang w:val="en-FR"/>
              </w:rPr>
            </w:pPr>
            <w:r w:rsidRPr="008D2815">
              <w:t>5 (25%)</w:t>
            </w:r>
          </w:p>
        </w:tc>
        <w:tc>
          <w:tcPr>
            <w:tcW w:w="2266" w:type="dxa"/>
          </w:tcPr>
          <w:p w14:paraId="3CDDE30E" w14:textId="49DCF3F5" w:rsidR="007A021B" w:rsidRDefault="007A021B" w:rsidP="007A021B">
            <w:pPr>
              <w:rPr>
                <w:lang w:val="en-FR"/>
              </w:rPr>
            </w:pPr>
            <w:r w:rsidRPr="008D2815">
              <w:t>11 (55%)</w:t>
            </w:r>
          </w:p>
        </w:tc>
        <w:tc>
          <w:tcPr>
            <w:tcW w:w="2266" w:type="dxa"/>
          </w:tcPr>
          <w:p w14:paraId="275C7684" w14:textId="3C87E6D4" w:rsidR="007A021B" w:rsidRDefault="007A021B" w:rsidP="007A021B">
            <w:pPr>
              <w:rPr>
                <w:lang w:val="en-FR"/>
              </w:rPr>
            </w:pPr>
            <w:r w:rsidRPr="008D2815">
              <w:t>3 (20%)</w:t>
            </w:r>
          </w:p>
        </w:tc>
      </w:tr>
      <w:tr w:rsidR="007A021B" w14:paraId="43A90A57" w14:textId="77777777" w:rsidTr="007A021B">
        <w:tc>
          <w:tcPr>
            <w:tcW w:w="2265" w:type="dxa"/>
          </w:tcPr>
          <w:p w14:paraId="7EA02E95" w14:textId="44AF3147" w:rsidR="007A021B" w:rsidRDefault="007A021B" w:rsidP="007A021B">
            <w:pPr>
              <w:rPr>
                <w:lang w:val="en-FR"/>
              </w:rPr>
            </w:pPr>
            <w:r w:rsidRPr="008D2815">
              <w:t>Difference &gt; 0.3%</w:t>
            </w:r>
          </w:p>
        </w:tc>
        <w:tc>
          <w:tcPr>
            <w:tcW w:w="2265" w:type="dxa"/>
          </w:tcPr>
          <w:p w14:paraId="6228174B" w14:textId="1002379A" w:rsidR="007A021B" w:rsidRDefault="007A021B" w:rsidP="007A021B">
            <w:pPr>
              <w:rPr>
                <w:lang w:val="en-FR"/>
              </w:rPr>
            </w:pPr>
            <w:r w:rsidRPr="008D2815">
              <w:t>0 (0%)</w:t>
            </w:r>
          </w:p>
        </w:tc>
        <w:tc>
          <w:tcPr>
            <w:tcW w:w="2266" w:type="dxa"/>
          </w:tcPr>
          <w:p w14:paraId="37127A2E" w14:textId="401BDB5F" w:rsidR="007A021B" w:rsidRDefault="007A021B" w:rsidP="007A021B">
            <w:pPr>
              <w:rPr>
                <w:lang w:val="en-FR"/>
              </w:rPr>
            </w:pPr>
            <w:r w:rsidRPr="008D2815">
              <w:t>5 (25%)</w:t>
            </w:r>
          </w:p>
        </w:tc>
        <w:tc>
          <w:tcPr>
            <w:tcW w:w="2266" w:type="dxa"/>
          </w:tcPr>
          <w:p w14:paraId="5AE5F9B2" w14:textId="5F7EFC72" w:rsidR="007A021B" w:rsidRDefault="00130703" w:rsidP="007A021B">
            <w:pPr>
              <w:rPr>
                <w:lang w:val="en-FR"/>
              </w:rPr>
            </w:pPr>
            <w:r>
              <w:t>4</w:t>
            </w:r>
            <w:r w:rsidR="007A021B" w:rsidRPr="008D2815">
              <w:t xml:space="preserve"> (</w:t>
            </w:r>
            <w:r>
              <w:t>2</w:t>
            </w:r>
            <w:r w:rsidR="007A021B" w:rsidRPr="008D2815">
              <w:t>0%)</w:t>
            </w:r>
          </w:p>
        </w:tc>
      </w:tr>
      <w:tr w:rsidR="007A021B" w14:paraId="4B4546E8" w14:textId="77777777" w:rsidTr="007A021B">
        <w:tc>
          <w:tcPr>
            <w:tcW w:w="2265" w:type="dxa"/>
          </w:tcPr>
          <w:p w14:paraId="46FE7BEE" w14:textId="4655AD43" w:rsidR="007A021B" w:rsidRDefault="007A021B" w:rsidP="007A021B">
            <w:pPr>
              <w:rPr>
                <w:lang w:val="en-FR"/>
              </w:rPr>
            </w:pPr>
            <w:r w:rsidRPr="008D2815">
              <w:t>Mean absolute % diff</w:t>
            </w:r>
          </w:p>
        </w:tc>
        <w:tc>
          <w:tcPr>
            <w:tcW w:w="2265" w:type="dxa"/>
          </w:tcPr>
          <w:p w14:paraId="2BE52883" w14:textId="5FE4BB3B" w:rsidR="007A021B" w:rsidRDefault="007A021B" w:rsidP="007A021B">
            <w:pPr>
              <w:rPr>
                <w:lang w:val="en-FR"/>
              </w:rPr>
            </w:pPr>
            <w:r w:rsidRPr="008D2815">
              <w:t>0.024%</w:t>
            </w:r>
          </w:p>
        </w:tc>
        <w:tc>
          <w:tcPr>
            <w:tcW w:w="2266" w:type="dxa"/>
          </w:tcPr>
          <w:p w14:paraId="114FF545" w14:textId="64EFA2BE" w:rsidR="007A021B" w:rsidRDefault="007A021B" w:rsidP="007A021B">
            <w:pPr>
              <w:rPr>
                <w:lang w:val="en-FR"/>
              </w:rPr>
            </w:pPr>
            <w:r w:rsidRPr="008D2815">
              <w:t>0.29% †</w:t>
            </w:r>
          </w:p>
        </w:tc>
        <w:tc>
          <w:tcPr>
            <w:tcW w:w="2266" w:type="dxa"/>
          </w:tcPr>
          <w:p w14:paraId="43811D13" w14:textId="58434AD5" w:rsidR="007A021B" w:rsidRDefault="007A021B" w:rsidP="007A021B">
            <w:pPr>
              <w:rPr>
                <w:lang w:val="en-FR"/>
              </w:rPr>
            </w:pPr>
            <w:r w:rsidRPr="008D2815">
              <w:t>0.013%</w:t>
            </w:r>
          </w:p>
        </w:tc>
      </w:tr>
      <w:tr w:rsidR="007A021B" w14:paraId="60FCBCF6" w14:textId="77777777" w:rsidTr="007A021B">
        <w:tc>
          <w:tcPr>
            <w:tcW w:w="2265" w:type="dxa"/>
          </w:tcPr>
          <w:p w14:paraId="3BBE066D" w14:textId="289AB83A" w:rsidR="007A021B" w:rsidRDefault="007A021B" w:rsidP="007A021B">
            <w:pPr>
              <w:rPr>
                <w:lang w:val="en-FR"/>
              </w:rPr>
            </w:pPr>
            <w:r w:rsidRPr="008D2815">
              <w:t>FJ11 import failures</w:t>
            </w:r>
          </w:p>
        </w:tc>
        <w:tc>
          <w:tcPr>
            <w:tcW w:w="2265" w:type="dxa"/>
          </w:tcPr>
          <w:p w14:paraId="04095CC4" w14:textId="529A63A8" w:rsidR="007A021B" w:rsidRDefault="007A021B" w:rsidP="007A021B">
            <w:pPr>
              <w:rPr>
                <w:lang w:val="en-FR"/>
              </w:rPr>
            </w:pPr>
            <w:r w:rsidRPr="008D2815">
              <w:t>—</w:t>
            </w:r>
          </w:p>
        </w:tc>
        <w:tc>
          <w:tcPr>
            <w:tcW w:w="2266" w:type="dxa"/>
          </w:tcPr>
          <w:p w14:paraId="76388485" w14:textId="07EE1507" w:rsidR="007A021B" w:rsidRDefault="007A021B" w:rsidP="007A021B">
            <w:pPr>
              <w:rPr>
                <w:lang w:val="en-FR"/>
              </w:rPr>
            </w:pPr>
            <w:r w:rsidRPr="008D2815">
              <w:t>Boolean + arcsinh</w:t>
            </w:r>
          </w:p>
        </w:tc>
        <w:tc>
          <w:tcPr>
            <w:tcW w:w="2266" w:type="dxa"/>
          </w:tcPr>
          <w:p w14:paraId="7140E0CB" w14:textId="53A95DB9" w:rsidR="007A021B" w:rsidRDefault="007A021B" w:rsidP="007A021B">
            <w:pPr>
              <w:rPr>
                <w:lang w:val="en-FR"/>
              </w:rPr>
            </w:pPr>
            <w:r w:rsidRPr="008D2815">
              <w:t>Marker naming (cascading)</w:t>
            </w:r>
          </w:p>
        </w:tc>
      </w:tr>
    </w:tbl>
    <w:p w14:paraId="28921750" w14:textId="3870EFA4" w:rsidR="0080169A" w:rsidRPr="0081532D" w:rsidRDefault="0080169A" w:rsidP="001F2645">
      <w:pPr>
        <w:rPr>
          <w:lang w:val="en-FR"/>
        </w:rPr>
      </w:pPr>
    </w:p>
    <w:p w14:paraId="532A8FCC" w14:textId="77777777" w:rsidR="008D041B" w:rsidRDefault="00DC1950">
      <w:bookmarkStart w:id="5" w:name="validation"/>
      <w:bookmarkStart w:id="6" w:name="standards-compliance"/>
      <w:bookmarkEnd w:id="3"/>
      <w:bookmarkEnd w:id="4"/>
      <w:r>
        <w:rPr>
          <w:noProof/>
        </w:rPr>
        <w:pict w14:anchorId="41B59D2E">
          <v:rect id="_x0000_i1029" alt="" style="width:451.3pt;height:.05pt;mso-width-percent:0;mso-height-percent:0;mso-width-percent:0;mso-height-percent:0" o:hralign="center" o:hrstd="t" o:hr="t"/>
        </w:pict>
      </w:r>
    </w:p>
    <w:p w14:paraId="2D16971D" w14:textId="77777777" w:rsidR="007A021B" w:rsidRPr="007A021B" w:rsidRDefault="007A021B" w:rsidP="007A021B">
      <w:pPr>
        <w:pStyle w:val="Heading1"/>
      </w:pPr>
      <w:bookmarkStart w:id="7" w:name="discussion"/>
      <w:bookmarkStart w:id="8" w:name="future-directions"/>
      <w:bookmarkEnd w:id="5"/>
      <w:bookmarkEnd w:id="6"/>
      <w:r w:rsidRPr="007A021B">
        <w:t>Limitations</w:t>
      </w:r>
    </w:p>
    <w:p w14:paraId="56AFF04D" w14:textId="00007B73" w:rsidR="007A021B" w:rsidRPr="007A021B" w:rsidRDefault="007A021B" w:rsidP="007A021B">
      <w:pPr>
        <w:rPr>
          <w:lang w:val="en-US" w:eastAsia="en-US"/>
        </w:rPr>
      </w:pPr>
      <w:r w:rsidRPr="007A021B">
        <w:rPr>
          <w:lang w:val="en-US" w:eastAsia="en-US"/>
        </w:rPr>
        <w:t xml:space="preserve">Four limitations apply. (1) Quadrant gates cannot be represented in v10 XML and must be manually reconstructed in FlowJo after export. (2) Per-sample tailored gates are collapsed to group-level on v10 export. (3) FlowJo v11 exhibits partial backward compatibility with v10 XML: boolean gates are silently discarded on FJ11 import; arcsinh-transformed gates are rendered with incorrect boundaries. The exported XML was verified as correct by FlowJo v10 in every case, localizing all failures to FJ11's v10 </w:t>
      </w:r>
      <w:r>
        <w:rPr>
          <w:lang w:val="en-US" w:eastAsia="en-US"/>
        </w:rPr>
        <w:t>importer</w:t>
      </w:r>
      <w:r w:rsidRPr="007A021B">
        <w:rPr>
          <w:lang w:val="en-US" w:eastAsia="en-US"/>
        </w:rPr>
        <w:t>; these incompatibilities would affect any v10-format workspace imported into FJ11, not only CyFj11 exports. (4) Compensation matrix export has been validated indirectly and by element-wise comparison for Test 14.</w:t>
      </w:r>
    </w:p>
    <w:p w14:paraId="5C501FEB" w14:textId="77777777" w:rsidR="00F76551" w:rsidRDefault="00F76551" w:rsidP="00F76551">
      <w:pPr>
        <w:rPr>
          <w:lang w:val="en-US" w:eastAsia="en-US"/>
        </w:rPr>
      </w:pPr>
    </w:p>
    <w:p w14:paraId="3F100332" w14:textId="77777777" w:rsidR="00974114" w:rsidRDefault="00DC1950" w:rsidP="00974114">
      <w:r>
        <w:rPr>
          <w:noProof/>
        </w:rPr>
        <w:pict w14:anchorId="7166E134">
          <v:rect id="_x0000_i1028" alt="" style="width:451.3pt;height:.05pt;mso-width-percent:0;mso-height-percent:0;mso-width-percent:0;mso-height-percent:0" o:hralign="center" o:hrstd="t" o:hr="t" fillcolor="#a0a0a0" stroked="f"/>
        </w:pict>
      </w:r>
    </w:p>
    <w:p w14:paraId="2DA62D98" w14:textId="648E3C22" w:rsidR="008D041B" w:rsidRPr="00977AB2" w:rsidRDefault="0099442C">
      <w:pPr>
        <w:rPr>
          <w:lang w:val="en-US"/>
        </w:rPr>
      </w:pPr>
      <w:r w:rsidRPr="00977AB2">
        <w:rPr>
          <w:lang w:val="en-US"/>
        </w:rPr>
        <w:t xml:space="preserve"> </w:t>
      </w:r>
    </w:p>
    <w:p w14:paraId="52B6C964" w14:textId="77777777" w:rsidR="00F41079" w:rsidRDefault="00F41079" w:rsidP="00F41079">
      <w:pPr>
        <w:pStyle w:val="Heading1"/>
      </w:pPr>
      <w:bookmarkStart w:id="9" w:name="conclusion"/>
      <w:bookmarkEnd w:id="7"/>
      <w:bookmarkEnd w:id="8"/>
      <w:r>
        <w:t>Availability</w:t>
      </w:r>
    </w:p>
    <w:p w14:paraId="13D19F62" w14:textId="093E190F" w:rsidR="00974114" w:rsidRDefault="00F41079" w:rsidP="00F41079">
      <w:pPr>
        <w:pStyle w:val="NormalWeb"/>
      </w:pPr>
      <w:r>
        <w:t>CyFj11 is available as open-source software at [</w:t>
      </w:r>
      <w:r w:rsidR="008B0107" w:rsidRPr="008B0107">
        <w:t>https://github.com/C3BI-pasteur-fr/CyFj11</w:t>
      </w:r>
      <w:r>
        <w:t>]. Validation datasets and scripts are deposited at https://doi.org/10.5281/zenodo.20933199. The package is compatible with R ≥ 4.0 and Bioconductor ≥ 3.14.</w:t>
      </w:r>
    </w:p>
    <w:p w14:paraId="1E30055F" w14:textId="515E4C16" w:rsidR="00F83312" w:rsidRDefault="00684CBC" w:rsidP="008B0107">
      <w:pPr>
        <w:pStyle w:val="Heading1"/>
      </w:pPr>
      <w:r>
        <w:t>References</w:t>
      </w:r>
    </w:p>
    <w:bookmarkStart w:id="10" w:name="references"/>
    <w:bookmarkEnd w:id="9"/>
    <w:p w14:paraId="08BD6219" w14:textId="77777777" w:rsidR="008B0107" w:rsidRPr="008B0107" w:rsidRDefault="008B0107" w:rsidP="008B0107">
      <w:pPr>
        <w:pStyle w:val="Bibliography"/>
        <w:rPr>
          <w:rFonts w:ascii="Bodoni MT" w:eastAsiaTheme="minorHAnsi" w:hAnsi="Bodoni MT"/>
          <w:sz w:val="24"/>
          <w:lang w:val="en-GB" w:eastAsia="en-US"/>
        </w:rPr>
      </w:pPr>
      <w:r>
        <w:fldChar w:fldCharType="begin"/>
      </w:r>
      <w:r>
        <w:instrText xml:space="preserve"> ADDIN ZOTERO_BIBL {"uncited":[],"omitted":[],"custom":[]} CSL_BIBLIOGRAPHY </w:instrText>
      </w:r>
      <w:r>
        <w:fldChar w:fldCharType="separate"/>
      </w:r>
      <w:r w:rsidRPr="008B0107">
        <w:rPr>
          <w:rFonts w:ascii="Bodoni MT" w:eastAsiaTheme="minorHAnsi" w:hAnsi="Bodoni MT"/>
          <w:sz w:val="24"/>
          <w:lang w:eastAsia="en-US"/>
        </w:rPr>
        <w:t>1.</w:t>
      </w:r>
      <w:r w:rsidRPr="008B0107">
        <w:rPr>
          <w:rFonts w:ascii="Bodoni MT" w:eastAsiaTheme="minorHAnsi" w:hAnsi="Bodoni MT"/>
          <w:sz w:val="24"/>
          <w:lang w:eastAsia="en-US"/>
        </w:rPr>
        <w:tab/>
        <w:t xml:space="preserve">The Milieu Intérieur Consortium, Patin E, Hasan M, Bergstedt J, Rouilly V, Libri V, et al. </w:t>
      </w:r>
      <w:r w:rsidRPr="008B0107">
        <w:rPr>
          <w:rFonts w:ascii="Bodoni MT" w:eastAsiaTheme="minorHAnsi" w:hAnsi="Bodoni MT"/>
          <w:sz w:val="24"/>
          <w:lang w:val="en-GB" w:eastAsia="en-US"/>
        </w:rPr>
        <w:t>Natural variation in the parameters of innate immune cells is preferentially driven by genetic factors. Nat Immunol. 2018 Mar;19(3):302–14. doi:10.1038/s41590-018-0049-7</w:t>
      </w:r>
    </w:p>
    <w:p w14:paraId="64691BB1" w14:textId="77777777" w:rsidR="008B0107" w:rsidRPr="008B0107" w:rsidRDefault="008B0107" w:rsidP="008B0107">
      <w:pPr>
        <w:pStyle w:val="Bibliography"/>
        <w:rPr>
          <w:rFonts w:ascii="Bodoni MT" w:eastAsiaTheme="minorHAnsi" w:hAnsi="Bodoni MT"/>
          <w:sz w:val="24"/>
          <w:lang w:val="en-GB" w:eastAsia="en-US"/>
        </w:rPr>
      </w:pPr>
      <w:r w:rsidRPr="008B0107">
        <w:rPr>
          <w:rFonts w:ascii="Bodoni MT" w:eastAsiaTheme="minorHAnsi" w:hAnsi="Bodoni MT"/>
          <w:sz w:val="24"/>
          <w:lang w:val="en-GB" w:eastAsia="en-US"/>
        </w:rPr>
        <w:t>2.</w:t>
      </w:r>
      <w:r w:rsidRPr="008B0107">
        <w:rPr>
          <w:rFonts w:ascii="Bodoni MT" w:eastAsiaTheme="minorHAnsi" w:hAnsi="Bodoni MT"/>
          <w:sz w:val="24"/>
          <w:lang w:val="en-GB" w:eastAsia="en-US"/>
        </w:rPr>
        <w:tab/>
        <w:t>Finak G, Jiang W, Gottardo R. CytoML for cross-platform cytometry data sharing. Cytometry Part A. 2018;93(12):1189–96. doi:10.1002/cyto.a.23663</w:t>
      </w:r>
    </w:p>
    <w:p w14:paraId="2F584180" w14:textId="77777777" w:rsidR="008B0107" w:rsidRPr="008B0107" w:rsidRDefault="008B0107" w:rsidP="008B0107">
      <w:pPr>
        <w:pStyle w:val="Bibliography"/>
        <w:rPr>
          <w:rFonts w:ascii="Bodoni MT" w:eastAsiaTheme="minorHAnsi" w:hAnsi="Bodoni MT"/>
          <w:sz w:val="24"/>
          <w:lang w:val="en-GB" w:eastAsia="en-US"/>
        </w:rPr>
      </w:pPr>
      <w:r w:rsidRPr="008B0107">
        <w:rPr>
          <w:rFonts w:ascii="Bodoni MT" w:eastAsiaTheme="minorHAnsi" w:hAnsi="Bodoni MT"/>
          <w:sz w:val="24"/>
          <w:lang w:val="en-GB" w:eastAsia="en-US"/>
        </w:rPr>
        <w:t>3.</w:t>
      </w:r>
      <w:r w:rsidRPr="008B0107">
        <w:rPr>
          <w:rFonts w:ascii="Bodoni MT" w:eastAsiaTheme="minorHAnsi" w:hAnsi="Bodoni MT"/>
          <w:sz w:val="24"/>
          <w:lang w:val="en-GB" w:eastAsia="en-US"/>
        </w:rPr>
        <w:tab/>
        <w:t>Greg Finak MJ. flowWorkspace [Internet]. Bioconductor; 2017 [cited 2026 Jul 6]. Available from: https://bioconductor.org/packages/flowWorkspace doi:10.18129/B9.BIOC.FLOWWORKSPACE</w:t>
      </w:r>
    </w:p>
    <w:p w14:paraId="67D58A10" w14:textId="77777777" w:rsidR="008B0107" w:rsidRPr="008B0107" w:rsidRDefault="008B0107" w:rsidP="008B0107">
      <w:pPr>
        <w:pStyle w:val="Bibliography"/>
        <w:rPr>
          <w:rFonts w:ascii="Bodoni MT" w:eastAsiaTheme="minorHAnsi" w:hAnsi="Bodoni MT"/>
          <w:sz w:val="24"/>
          <w:lang w:val="en-GB" w:eastAsia="en-US"/>
        </w:rPr>
      </w:pPr>
      <w:r w:rsidRPr="008B0107">
        <w:rPr>
          <w:rFonts w:ascii="Bodoni MT" w:eastAsiaTheme="minorHAnsi" w:hAnsi="Bodoni MT"/>
          <w:sz w:val="24"/>
          <w:lang w:val="en-GB" w:eastAsia="en-US"/>
        </w:rPr>
        <w:lastRenderedPageBreak/>
        <w:t>4.</w:t>
      </w:r>
      <w:r w:rsidRPr="008B0107">
        <w:rPr>
          <w:rFonts w:ascii="Bodoni MT" w:eastAsiaTheme="minorHAnsi" w:hAnsi="Bodoni MT"/>
          <w:sz w:val="24"/>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061E7B5B" w14:textId="77777777" w:rsidR="008B0107" w:rsidRPr="008B0107" w:rsidRDefault="008B0107" w:rsidP="008B0107">
      <w:pPr>
        <w:pStyle w:val="Bibliography"/>
        <w:rPr>
          <w:rFonts w:ascii="Bodoni MT" w:eastAsiaTheme="minorHAnsi" w:hAnsi="Bodoni MT"/>
          <w:sz w:val="24"/>
          <w:lang w:val="en-GB" w:eastAsia="en-US"/>
        </w:rPr>
      </w:pPr>
      <w:r w:rsidRPr="008B0107">
        <w:rPr>
          <w:rFonts w:ascii="Bodoni MT" w:eastAsiaTheme="minorHAnsi" w:hAnsi="Bodoni MT"/>
          <w:sz w:val="24"/>
          <w:lang w:val="en-GB" w:eastAsia="en-US"/>
        </w:rPr>
        <w:t>5.</w:t>
      </w:r>
      <w:r w:rsidRPr="008B0107">
        <w:rPr>
          <w:rFonts w:ascii="Bodoni MT" w:eastAsiaTheme="minorHAnsi" w:hAnsi="Bodoni MT"/>
          <w:sz w:val="24"/>
          <w:lang w:val="en-GB" w:eastAsia="en-US"/>
        </w:rPr>
        <w:tab/>
        <w:t>Van Gassen S, Callebaut B, Van Helden MJ, Lambrecht BN, Demeester P, Dhaene T, et al. FlowSOM: Using self</w:t>
      </w:r>
      <w:r w:rsidRPr="008B0107">
        <w:rPr>
          <w:rFonts w:ascii="Bodoni MT" w:eastAsiaTheme="minorHAnsi" w:hAnsi="Bodoni MT" w:cs="Cambria Math"/>
          <w:sz w:val="24"/>
          <w:lang w:val="en-GB" w:eastAsia="en-US"/>
        </w:rPr>
        <w:t>‐</w:t>
      </w:r>
      <w:r w:rsidRPr="008B0107">
        <w:rPr>
          <w:rFonts w:ascii="Bodoni MT" w:eastAsiaTheme="minorHAnsi" w:hAnsi="Bodoni MT"/>
          <w:sz w:val="24"/>
          <w:lang w:val="en-GB" w:eastAsia="en-US"/>
        </w:rPr>
        <w:t>organizing maps for visualization and interpretation of cytometry data. Cytometry Pt A. 2015 Jul;87(7):636–45. doi:10.1002/cyto.a.22625</w:t>
      </w:r>
    </w:p>
    <w:p w14:paraId="5A6F08FB" w14:textId="77777777" w:rsidR="008B0107" w:rsidRPr="008B0107" w:rsidRDefault="008B0107" w:rsidP="008B0107">
      <w:pPr>
        <w:pStyle w:val="Bibliography"/>
        <w:rPr>
          <w:rFonts w:ascii="Bodoni MT" w:eastAsiaTheme="minorHAnsi" w:hAnsi="Bodoni MT"/>
          <w:sz w:val="24"/>
          <w:lang w:val="en-GB" w:eastAsia="en-US"/>
        </w:rPr>
      </w:pPr>
      <w:r w:rsidRPr="008B0107">
        <w:rPr>
          <w:rFonts w:ascii="Bodoni MT" w:eastAsiaTheme="minorHAnsi" w:hAnsi="Bodoni MT"/>
          <w:sz w:val="24"/>
          <w:lang w:val="en-GB" w:eastAsia="en-US"/>
        </w:rPr>
        <w:t>6.</w:t>
      </w:r>
      <w:r w:rsidRPr="008B0107">
        <w:rPr>
          <w:rFonts w:ascii="Bodoni MT" w:eastAsiaTheme="minorHAnsi" w:hAnsi="Bodoni MT"/>
          <w:sz w:val="24"/>
          <w:lang w:val="en-GB" w:eastAsia="en-US"/>
        </w:rPr>
        <w:tab/>
        <w:t>Lee JA, Spidlen J, Boyce K, Cai J, Crosbie N, Dalphin M, et al. MIFlowCyt: The minimum information about a flow cytometry experiment. Cytometry Pt A. 2008 Oct;73A(10):926–30. doi:10.1002/cyto.a.20623</w:t>
      </w:r>
    </w:p>
    <w:p w14:paraId="4653AB49" w14:textId="70B8647D" w:rsidR="008B0107" w:rsidRPr="008B0107" w:rsidRDefault="008B0107" w:rsidP="000048C0">
      <w:pPr>
        <w:pStyle w:val="Heading1"/>
        <w:numPr>
          <w:ilvl w:val="0"/>
          <w:numId w:val="0"/>
        </w:numPr>
        <w:ind w:left="426"/>
        <w:rPr>
          <w:lang w:val="en-US"/>
        </w:rPr>
      </w:pPr>
      <w:r>
        <w:fldChar w:fldCharType="end"/>
      </w:r>
    </w:p>
    <w:p w14:paraId="3FECFE31" w14:textId="51019F93" w:rsidR="008D041B" w:rsidRDefault="00DC1950" w:rsidP="000048C0">
      <w:pPr>
        <w:pStyle w:val="Heading1"/>
        <w:numPr>
          <w:ilvl w:val="0"/>
          <w:numId w:val="0"/>
        </w:numPr>
        <w:ind w:left="426"/>
      </w:pPr>
      <w:r>
        <w:rPr>
          <w:noProof/>
        </w:rPr>
        <w:pict w14:anchorId="7D8B5ADD">
          <v:rect id="_x0000_i1027" alt="" style="width:416.25pt;height:.05pt;mso-width-percent:0;mso-height-percent:0;mso-width-percent:0;mso-height-percent:0" o:hrpct="968" o:hralign="center" o:hrstd="t" o:hr="t"/>
        </w:pict>
      </w:r>
    </w:p>
    <w:p w14:paraId="01E0648A" w14:textId="77777777" w:rsidR="008D041B" w:rsidRDefault="0099442C">
      <w:r>
        <w:br w:type="page"/>
      </w:r>
    </w:p>
    <w:p w14:paraId="73FD98F3" w14:textId="77777777" w:rsidR="003736AA" w:rsidRDefault="003736AA" w:rsidP="003736AA">
      <w:pPr>
        <w:pStyle w:val="Heading1"/>
        <w:rPr>
          <w:rFonts w:ascii="Times New Roman" w:hAnsi="Times New Roman"/>
          <w:lang w:eastAsia="en-GB"/>
        </w:rPr>
      </w:pPr>
      <w:bookmarkStart w:id="11" w:name="annex-a-technical-implementation-details"/>
      <w:bookmarkEnd w:id="10"/>
      <w:r>
        <w:lastRenderedPageBreak/>
        <w:t>Supplementary Files</w:t>
      </w:r>
    </w:p>
    <w:p w14:paraId="74C00705" w14:textId="0B6138B1" w:rsidR="00485EE6" w:rsidRPr="00485EE6" w:rsidRDefault="00485EE6" w:rsidP="00485EE6">
      <w:pPr>
        <w:pStyle w:val="NormalWeb"/>
        <w:rPr>
          <w:rStyle w:val="Strong"/>
        </w:rPr>
      </w:pPr>
      <w:bookmarkStart w:id="12" w:name="_Hlk233822453"/>
      <w:r w:rsidRPr="00485EE6">
        <w:rPr>
          <w:rStyle w:val="Strong"/>
        </w:rPr>
        <w:t>A — Test scenario specifications</w:t>
      </w:r>
      <w:r w:rsidRPr="00485EE6">
        <w:rPr>
          <w:rStyle w:val="Strong"/>
        </w:rPr>
        <w:tab/>
        <w:t>Full descriptions of tests 01–14; design rationale; edge-case coverage</w:t>
      </w:r>
    </w:p>
    <w:p w14:paraId="05DA307F" w14:textId="2BC89E24" w:rsidR="00485EE6" w:rsidRPr="00485EE6" w:rsidRDefault="00485EE6" w:rsidP="00485EE6">
      <w:pPr>
        <w:pStyle w:val="NormalWeb"/>
        <w:rPr>
          <w:rStyle w:val="Strong"/>
        </w:rPr>
      </w:pPr>
      <w:r w:rsidRPr="00485EE6">
        <w:rPr>
          <w:rStyle w:val="Strong"/>
        </w:rPr>
        <w:t>B — Full validation results</w:t>
      </w:r>
      <w:r w:rsidRPr="00485EE6">
        <w:rPr>
          <w:rStyle w:val="Strong"/>
        </w:rPr>
        <w:tab/>
        <w:t>Per-population count tables (FJ10 and FJ11); Test 14 detail; compensation matrix element-wise comparison; Gating-ML conformance table</w:t>
      </w:r>
    </w:p>
    <w:p w14:paraId="1E833E59" w14:textId="312187CC" w:rsidR="00485EE6" w:rsidRPr="00485EE6" w:rsidRDefault="00485EE6" w:rsidP="00485EE6">
      <w:pPr>
        <w:pStyle w:val="NormalWeb"/>
        <w:rPr>
          <w:rStyle w:val="Strong"/>
        </w:rPr>
      </w:pPr>
      <w:r w:rsidRPr="00485EE6">
        <w:rPr>
          <w:rStyle w:val="Strong"/>
        </w:rPr>
        <w:t>C — Standards compliance</w:t>
      </w:r>
      <w:r w:rsidRPr="00485EE6">
        <w:rPr>
          <w:rStyle w:val="Strong"/>
        </w:rPr>
        <w:tab/>
        <w:t>Gating-ML 2.0 structural and XSD validation; MIFlowCyt compliance discussion</w:t>
      </w:r>
    </w:p>
    <w:p w14:paraId="2BFB9761" w14:textId="6E635FA5" w:rsidR="00485EE6" w:rsidRPr="00485EE6" w:rsidRDefault="00485EE6" w:rsidP="00485EE6">
      <w:pPr>
        <w:pStyle w:val="NormalWeb"/>
        <w:rPr>
          <w:rStyle w:val="Strong"/>
        </w:rPr>
      </w:pPr>
      <w:r w:rsidRPr="00485EE6">
        <w:rPr>
          <w:rStyle w:val="Strong"/>
        </w:rPr>
        <w:t>D — Extended discussion</w:t>
      </w:r>
      <w:r w:rsidRPr="00485EE6">
        <w:rPr>
          <w:rStyle w:val="Strong"/>
        </w:rPr>
        <w:tab/>
        <w:t>FJ11 backward-compatibility details and workarounds; comparison with CytoML and openCyto; future directions (v11 export, spectral unmixing, CyTOF)</w:t>
      </w:r>
      <w:r w:rsidRPr="00485EE6">
        <w:rPr>
          <w:rStyle w:val="Strong"/>
        </w:rPr>
        <w:tab/>
      </w:r>
    </w:p>
    <w:p w14:paraId="7A47D82C" w14:textId="7559222B" w:rsidR="00485EE6" w:rsidRDefault="00485EE6" w:rsidP="00485EE6">
      <w:pPr>
        <w:pStyle w:val="NormalWeb"/>
        <w:rPr>
          <w:rStyle w:val="Strong"/>
        </w:rPr>
      </w:pPr>
      <w:r w:rsidRPr="00485EE6">
        <w:rPr>
          <w:rStyle w:val="Strong"/>
        </w:rPr>
        <w:t>E — Installation and usage guide</w:t>
      </w:r>
      <w:r w:rsidRPr="00485EE6">
        <w:rPr>
          <w:rStyle w:val="Strong"/>
        </w:rPr>
        <w:tab/>
        <w:t>Function reference; worked examples; known platform-specific notes</w:t>
      </w:r>
    </w:p>
    <w:bookmarkEnd w:id="12"/>
    <w:p w14:paraId="66979D99" w14:textId="77777777" w:rsidR="003736AA" w:rsidRDefault="00DC1950" w:rsidP="003736AA">
      <w:r>
        <w:rPr>
          <w:noProof/>
        </w:rPr>
        <w:pict w14:anchorId="660CE9A0">
          <v:rect id="_x0000_i1026" alt="" style="width:451.3pt;height:.05pt;mso-width-percent:0;mso-height-percent:0;mso-width-percent:0;mso-height-percent:0" o:hralign="center" o:hrstd="t" o:hr="t" fillcolor="#a0a0a0" stroked="f"/>
        </w:pict>
      </w:r>
    </w:p>
    <w:p w14:paraId="738F6D1B" w14:textId="448B1959" w:rsidR="003736AA" w:rsidRDefault="00485EE6" w:rsidP="003736AA">
      <w:pPr>
        <w:pStyle w:val="Heading1"/>
        <w:numPr>
          <w:ilvl w:val="0"/>
          <w:numId w:val="0"/>
        </w:numPr>
        <w:ind w:left="426"/>
      </w:pPr>
      <w:r>
        <w:t>Appendix A</w:t>
      </w:r>
    </w:p>
    <w:p w14:paraId="72A0A9FE" w14:textId="77777777" w:rsidR="00485EE6" w:rsidRPr="000048C0" w:rsidRDefault="00485EE6" w:rsidP="00485EE6">
      <w:pPr>
        <w:pStyle w:val="Heading1"/>
        <w:numPr>
          <w:ilvl w:val="0"/>
          <w:numId w:val="0"/>
        </w:numPr>
        <w:ind w:left="426"/>
        <w:rPr>
          <w:lang w:val="en-US"/>
        </w:rPr>
      </w:pPr>
      <w:r w:rsidRPr="000048C0">
        <w:rPr>
          <w:lang w:val="en-US"/>
        </w:rPr>
        <w:t>Test Scenario Descriptions</w:t>
      </w:r>
    </w:p>
    <w:p w14:paraId="18A65E67" w14:textId="77777777" w:rsidR="00485EE6" w:rsidRPr="00977AB2" w:rsidRDefault="00485EE6" w:rsidP="00485EE6">
      <w:pPr>
        <w:rPr>
          <w:lang w:val="en-US"/>
        </w:rPr>
      </w:pPr>
      <w:r w:rsidRPr="00977AB2">
        <w:rPr>
          <w:lang w:val="en-US"/>
        </w:rPr>
        <w:t xml:space="preserve">All test scenarios use synthetic FCS data generated by the validation suite in roundtrip_experiment.Rmd. Each test directory contains the FCS file(s), an exported v10 workspace (export.wsp), and a description file (test_info.txt). </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485EE6" w14:paraId="48AF91EF" w14:textId="77777777" w:rsidTr="0004641B">
        <w:trPr>
          <w:tblHeader/>
        </w:trPr>
        <w:tc>
          <w:tcPr>
            <w:tcW w:w="1512" w:type="dxa"/>
          </w:tcPr>
          <w:p w14:paraId="41804E4A" w14:textId="77777777" w:rsidR="00485EE6" w:rsidRDefault="00485EE6" w:rsidP="0004641B">
            <w:r>
              <w:t>Test</w:t>
            </w:r>
          </w:p>
        </w:tc>
        <w:tc>
          <w:tcPr>
            <w:tcW w:w="1512" w:type="dxa"/>
          </w:tcPr>
          <w:p w14:paraId="7248418D" w14:textId="77777777" w:rsidR="00485EE6" w:rsidRDefault="00485EE6" w:rsidP="0004641B">
            <w:r>
              <w:t>Samples</w:t>
            </w:r>
          </w:p>
        </w:tc>
        <w:tc>
          <w:tcPr>
            <w:tcW w:w="1512" w:type="dxa"/>
          </w:tcPr>
          <w:p w14:paraId="5907A1CD" w14:textId="77777777" w:rsidR="00485EE6" w:rsidRDefault="00485EE6" w:rsidP="0004641B">
            <w:r>
              <w:t>Gate hierarchy</w:t>
            </w:r>
          </w:p>
        </w:tc>
        <w:tc>
          <w:tcPr>
            <w:tcW w:w="1512" w:type="dxa"/>
          </w:tcPr>
          <w:p w14:paraId="14D71EC0" w14:textId="77777777" w:rsidR="00485EE6" w:rsidRDefault="00485EE6" w:rsidP="0004641B">
            <w:r>
              <w:t>Gate types</w:t>
            </w:r>
          </w:p>
        </w:tc>
        <w:tc>
          <w:tcPr>
            <w:tcW w:w="1512" w:type="dxa"/>
          </w:tcPr>
          <w:p w14:paraId="1BC36719" w14:textId="77777777" w:rsidR="00485EE6" w:rsidRDefault="00485EE6" w:rsidP="0004641B">
            <w:r>
              <w:t>Transforms</w:t>
            </w:r>
          </w:p>
        </w:tc>
        <w:tc>
          <w:tcPr>
            <w:tcW w:w="1512" w:type="dxa"/>
          </w:tcPr>
          <w:p w14:paraId="3256D82A" w14:textId="77777777" w:rsidR="00485EE6" w:rsidRDefault="00485EE6" w:rsidP="0004641B">
            <w:r>
              <w:t>Known issues</w:t>
            </w:r>
          </w:p>
        </w:tc>
      </w:tr>
      <w:tr w:rsidR="00485EE6" w14:paraId="5F3321EA" w14:textId="77777777" w:rsidTr="0004641B">
        <w:tc>
          <w:tcPr>
            <w:tcW w:w="1512" w:type="dxa"/>
          </w:tcPr>
          <w:p w14:paraId="127E4D07" w14:textId="77777777" w:rsidR="00485EE6" w:rsidRDefault="00485EE6" w:rsidP="0004641B">
            <w:r>
              <w:t>01</w:t>
            </w:r>
          </w:p>
        </w:tc>
        <w:tc>
          <w:tcPr>
            <w:tcW w:w="1512" w:type="dxa"/>
          </w:tcPr>
          <w:p w14:paraId="125DB8CC" w14:textId="77777777" w:rsidR="00485EE6" w:rsidRDefault="00485EE6" w:rsidP="0004641B">
            <w:r>
              <w:t>1</w:t>
            </w:r>
          </w:p>
        </w:tc>
        <w:tc>
          <w:tcPr>
            <w:tcW w:w="1512" w:type="dxa"/>
          </w:tcPr>
          <w:p w14:paraId="308726E1" w14:textId="77777777" w:rsidR="00485EE6" w:rsidRDefault="00485EE6" w:rsidP="0004641B">
            <w:r>
              <w:t>Root only</w:t>
            </w:r>
          </w:p>
        </w:tc>
        <w:tc>
          <w:tcPr>
            <w:tcW w:w="1512" w:type="dxa"/>
          </w:tcPr>
          <w:p w14:paraId="4BEB4521" w14:textId="77777777" w:rsidR="00485EE6" w:rsidRDefault="00485EE6" w:rsidP="0004641B">
            <w:r>
              <w:t>None</w:t>
            </w:r>
          </w:p>
        </w:tc>
        <w:tc>
          <w:tcPr>
            <w:tcW w:w="1512" w:type="dxa"/>
          </w:tcPr>
          <w:p w14:paraId="1BC7D018" w14:textId="77777777" w:rsidR="00485EE6" w:rsidRDefault="00485EE6" w:rsidP="0004641B">
            <w:r>
              <w:t>Linear</w:t>
            </w:r>
          </w:p>
        </w:tc>
        <w:tc>
          <w:tcPr>
            <w:tcW w:w="1512" w:type="dxa"/>
          </w:tcPr>
          <w:p w14:paraId="5B86D8AC" w14:textId="77777777" w:rsidR="00485EE6" w:rsidRDefault="00485EE6" w:rsidP="0004641B">
            <w:r>
              <w:t>None</w:t>
            </w:r>
          </w:p>
        </w:tc>
      </w:tr>
      <w:tr w:rsidR="00485EE6" w14:paraId="69F93F5F" w14:textId="77777777" w:rsidTr="0004641B">
        <w:tc>
          <w:tcPr>
            <w:tcW w:w="1512" w:type="dxa"/>
          </w:tcPr>
          <w:p w14:paraId="47A8E945" w14:textId="77777777" w:rsidR="00485EE6" w:rsidRDefault="00485EE6" w:rsidP="0004641B">
            <w:r>
              <w:t>02</w:t>
            </w:r>
          </w:p>
        </w:tc>
        <w:tc>
          <w:tcPr>
            <w:tcW w:w="1512" w:type="dxa"/>
          </w:tcPr>
          <w:p w14:paraId="3609DF0C" w14:textId="77777777" w:rsidR="00485EE6" w:rsidRDefault="00485EE6" w:rsidP="0004641B">
            <w:r>
              <w:t>1</w:t>
            </w:r>
          </w:p>
        </w:tc>
        <w:tc>
          <w:tcPr>
            <w:tcW w:w="1512" w:type="dxa"/>
          </w:tcPr>
          <w:p w14:paraId="33BEA72D" w14:textId="77777777" w:rsidR="00485EE6" w:rsidRDefault="00485EE6" w:rsidP="0004641B">
            <w:r>
              <w:t>1 level</w:t>
            </w:r>
          </w:p>
        </w:tc>
        <w:tc>
          <w:tcPr>
            <w:tcW w:w="1512" w:type="dxa"/>
          </w:tcPr>
          <w:p w14:paraId="34203EB1" w14:textId="77777777" w:rsidR="00485EE6" w:rsidRPr="00977AB2" w:rsidRDefault="00485EE6" w:rsidP="0004641B">
            <w:pPr>
              <w:rPr>
                <w:lang w:val="en-US"/>
              </w:rPr>
            </w:pPr>
            <w:r w:rsidRPr="00977AB2">
              <w:rPr>
                <w:lang w:val="en-US"/>
              </w:rPr>
              <w:t>1D rectangle (FSC-A, 60k–180k)</w:t>
            </w:r>
          </w:p>
        </w:tc>
        <w:tc>
          <w:tcPr>
            <w:tcW w:w="1512" w:type="dxa"/>
          </w:tcPr>
          <w:p w14:paraId="5411E1DE" w14:textId="77777777" w:rsidR="00485EE6" w:rsidRDefault="00485EE6" w:rsidP="0004641B">
            <w:r>
              <w:t>Linear</w:t>
            </w:r>
          </w:p>
        </w:tc>
        <w:tc>
          <w:tcPr>
            <w:tcW w:w="1512" w:type="dxa"/>
          </w:tcPr>
          <w:p w14:paraId="4D12EC1F" w14:textId="77777777" w:rsidR="00485EE6" w:rsidRDefault="00485EE6" w:rsidP="0004641B">
            <w:r>
              <w:t>None</w:t>
            </w:r>
          </w:p>
        </w:tc>
      </w:tr>
      <w:tr w:rsidR="00485EE6" w14:paraId="621C8D27" w14:textId="77777777" w:rsidTr="0004641B">
        <w:tc>
          <w:tcPr>
            <w:tcW w:w="1512" w:type="dxa"/>
          </w:tcPr>
          <w:p w14:paraId="1A00FEC0" w14:textId="77777777" w:rsidR="00485EE6" w:rsidRDefault="00485EE6" w:rsidP="0004641B">
            <w:r>
              <w:t>03</w:t>
            </w:r>
          </w:p>
        </w:tc>
        <w:tc>
          <w:tcPr>
            <w:tcW w:w="1512" w:type="dxa"/>
          </w:tcPr>
          <w:p w14:paraId="3339BA0F" w14:textId="77777777" w:rsidR="00485EE6" w:rsidRDefault="00485EE6" w:rsidP="0004641B">
            <w:r>
              <w:t>1</w:t>
            </w:r>
          </w:p>
        </w:tc>
        <w:tc>
          <w:tcPr>
            <w:tcW w:w="1512" w:type="dxa"/>
          </w:tcPr>
          <w:p w14:paraId="48A38EAA" w14:textId="77777777" w:rsidR="00485EE6" w:rsidRDefault="00485EE6" w:rsidP="0004641B">
            <w:r>
              <w:t>1 level</w:t>
            </w:r>
          </w:p>
        </w:tc>
        <w:tc>
          <w:tcPr>
            <w:tcW w:w="1512" w:type="dxa"/>
          </w:tcPr>
          <w:p w14:paraId="45A4F8F5" w14:textId="77777777" w:rsidR="00485EE6" w:rsidRDefault="00485EE6" w:rsidP="0004641B">
            <w:r>
              <w:t>2D rectangle (FSC-A, SSC-A)</w:t>
            </w:r>
          </w:p>
        </w:tc>
        <w:tc>
          <w:tcPr>
            <w:tcW w:w="1512" w:type="dxa"/>
          </w:tcPr>
          <w:p w14:paraId="64EFA9BD" w14:textId="77777777" w:rsidR="00485EE6" w:rsidRDefault="00485EE6" w:rsidP="0004641B">
            <w:r>
              <w:t>Linear</w:t>
            </w:r>
          </w:p>
        </w:tc>
        <w:tc>
          <w:tcPr>
            <w:tcW w:w="1512" w:type="dxa"/>
          </w:tcPr>
          <w:p w14:paraId="594FB696" w14:textId="77777777" w:rsidR="00485EE6" w:rsidRDefault="00485EE6" w:rsidP="0004641B">
            <w:r>
              <w:t>None</w:t>
            </w:r>
          </w:p>
        </w:tc>
      </w:tr>
      <w:tr w:rsidR="00485EE6" w14:paraId="739A7337" w14:textId="77777777" w:rsidTr="0004641B">
        <w:tc>
          <w:tcPr>
            <w:tcW w:w="1512" w:type="dxa"/>
          </w:tcPr>
          <w:p w14:paraId="7C600A40" w14:textId="77777777" w:rsidR="00485EE6" w:rsidRDefault="00485EE6" w:rsidP="0004641B">
            <w:r>
              <w:t>04</w:t>
            </w:r>
          </w:p>
        </w:tc>
        <w:tc>
          <w:tcPr>
            <w:tcW w:w="1512" w:type="dxa"/>
          </w:tcPr>
          <w:p w14:paraId="0B762779" w14:textId="77777777" w:rsidR="00485EE6" w:rsidRDefault="00485EE6" w:rsidP="0004641B">
            <w:r>
              <w:t>1</w:t>
            </w:r>
          </w:p>
        </w:tc>
        <w:tc>
          <w:tcPr>
            <w:tcW w:w="1512" w:type="dxa"/>
          </w:tcPr>
          <w:p w14:paraId="4ED507ED" w14:textId="77777777" w:rsidR="00485EE6" w:rsidRDefault="00485EE6" w:rsidP="0004641B">
            <w:r>
              <w:t>1 level</w:t>
            </w:r>
          </w:p>
        </w:tc>
        <w:tc>
          <w:tcPr>
            <w:tcW w:w="1512" w:type="dxa"/>
          </w:tcPr>
          <w:p w14:paraId="5D9DE710" w14:textId="77777777" w:rsidR="00485EE6" w:rsidRDefault="00485EE6" w:rsidP="0004641B">
            <w:r>
              <w:t>Polygon on FSC-A vs FSC-H (6 vertices)</w:t>
            </w:r>
          </w:p>
        </w:tc>
        <w:tc>
          <w:tcPr>
            <w:tcW w:w="1512" w:type="dxa"/>
          </w:tcPr>
          <w:p w14:paraId="0DB63419" w14:textId="77777777" w:rsidR="00485EE6" w:rsidRDefault="00485EE6" w:rsidP="0004641B">
            <w:r>
              <w:t>Linear</w:t>
            </w:r>
          </w:p>
        </w:tc>
        <w:tc>
          <w:tcPr>
            <w:tcW w:w="1512" w:type="dxa"/>
          </w:tcPr>
          <w:p w14:paraId="21F94A0C" w14:textId="77777777" w:rsidR="00485EE6" w:rsidRDefault="00485EE6" w:rsidP="0004641B">
            <w:r>
              <w:t>None</w:t>
            </w:r>
          </w:p>
        </w:tc>
      </w:tr>
      <w:tr w:rsidR="00485EE6" w:rsidRPr="00DC234C" w14:paraId="30FFF41F" w14:textId="77777777" w:rsidTr="0004641B">
        <w:tc>
          <w:tcPr>
            <w:tcW w:w="1512" w:type="dxa"/>
          </w:tcPr>
          <w:p w14:paraId="0743026A" w14:textId="77777777" w:rsidR="00485EE6" w:rsidRDefault="00485EE6" w:rsidP="0004641B">
            <w:r>
              <w:t>05</w:t>
            </w:r>
          </w:p>
        </w:tc>
        <w:tc>
          <w:tcPr>
            <w:tcW w:w="1512" w:type="dxa"/>
          </w:tcPr>
          <w:p w14:paraId="30C05288" w14:textId="77777777" w:rsidR="00485EE6" w:rsidRDefault="00485EE6" w:rsidP="0004641B">
            <w:r>
              <w:t>1</w:t>
            </w:r>
          </w:p>
        </w:tc>
        <w:tc>
          <w:tcPr>
            <w:tcW w:w="1512" w:type="dxa"/>
          </w:tcPr>
          <w:p w14:paraId="5D2B03D2" w14:textId="77777777" w:rsidR="00485EE6" w:rsidRDefault="00485EE6" w:rsidP="0004641B">
            <w:r>
              <w:t>1 level</w:t>
            </w:r>
          </w:p>
        </w:tc>
        <w:tc>
          <w:tcPr>
            <w:tcW w:w="1512" w:type="dxa"/>
          </w:tcPr>
          <w:p w14:paraId="563E7604" w14:textId="77777777" w:rsidR="00485EE6" w:rsidRPr="00977AB2" w:rsidRDefault="00485EE6" w:rsidP="0004641B">
            <w:pPr>
              <w:rPr>
                <w:lang w:val="en-US"/>
              </w:rPr>
            </w:pPr>
            <w:r w:rsidRPr="00977AB2">
              <w:rPr>
                <w:lang w:val="en-US"/>
              </w:rPr>
              <w:t>Ellipsoid on FSC-A vs SSC-A</w:t>
            </w:r>
          </w:p>
        </w:tc>
        <w:tc>
          <w:tcPr>
            <w:tcW w:w="1512" w:type="dxa"/>
          </w:tcPr>
          <w:p w14:paraId="3542526B" w14:textId="77777777" w:rsidR="00485EE6" w:rsidRDefault="00485EE6" w:rsidP="0004641B">
            <w:r>
              <w:t>Linear</w:t>
            </w:r>
          </w:p>
        </w:tc>
        <w:tc>
          <w:tcPr>
            <w:tcW w:w="1512" w:type="dxa"/>
          </w:tcPr>
          <w:p w14:paraId="4C6099FA" w14:textId="77777777" w:rsidR="00485EE6" w:rsidRPr="00977AB2" w:rsidRDefault="00485EE6" w:rsidP="0004641B">
            <w:pPr>
              <w:rPr>
                <w:lang w:val="en-US"/>
              </w:rPr>
            </w:pPr>
            <w:r w:rsidRPr="00977AB2">
              <w:rPr>
                <w:lang w:val="en-US"/>
              </w:rPr>
              <w:t>Minor coordinate difference expected from eigenvalue decomposition</w:t>
            </w:r>
          </w:p>
        </w:tc>
      </w:tr>
      <w:tr w:rsidR="00485EE6" w14:paraId="5321694C" w14:textId="77777777" w:rsidTr="0004641B">
        <w:tc>
          <w:tcPr>
            <w:tcW w:w="1512" w:type="dxa"/>
          </w:tcPr>
          <w:p w14:paraId="66451D1B" w14:textId="77777777" w:rsidR="00485EE6" w:rsidRDefault="00485EE6" w:rsidP="0004641B">
            <w:r>
              <w:t>06</w:t>
            </w:r>
          </w:p>
        </w:tc>
        <w:tc>
          <w:tcPr>
            <w:tcW w:w="1512" w:type="dxa"/>
          </w:tcPr>
          <w:p w14:paraId="047A7878" w14:textId="77777777" w:rsidR="00485EE6" w:rsidRDefault="00485EE6" w:rsidP="0004641B">
            <w:r>
              <w:t>1</w:t>
            </w:r>
          </w:p>
        </w:tc>
        <w:tc>
          <w:tcPr>
            <w:tcW w:w="1512" w:type="dxa"/>
          </w:tcPr>
          <w:p w14:paraId="696C3708" w14:textId="77777777" w:rsidR="00485EE6" w:rsidRDefault="00485EE6" w:rsidP="0004641B">
            <w:r>
              <w:t>1 level</w:t>
            </w:r>
          </w:p>
        </w:tc>
        <w:tc>
          <w:tcPr>
            <w:tcW w:w="1512" w:type="dxa"/>
          </w:tcPr>
          <w:p w14:paraId="77882AE2" w14:textId="77777777" w:rsidR="00485EE6" w:rsidRDefault="00485EE6" w:rsidP="0004641B">
            <w:r>
              <w:t>1D rectangle on FITC-A</w:t>
            </w:r>
          </w:p>
        </w:tc>
        <w:tc>
          <w:tcPr>
            <w:tcW w:w="1512" w:type="dxa"/>
          </w:tcPr>
          <w:p w14:paraId="3DE21F68" w14:textId="77777777" w:rsidR="00485EE6" w:rsidRDefault="00485EE6" w:rsidP="0004641B">
            <w:r>
              <w:t xml:space="preserve">Biexponential (channelRange=4096, </w:t>
            </w:r>
            <w:r>
              <w:lastRenderedPageBreak/>
              <w:t>pos=4.5, neg=0)</w:t>
            </w:r>
          </w:p>
        </w:tc>
        <w:tc>
          <w:tcPr>
            <w:tcW w:w="1512" w:type="dxa"/>
          </w:tcPr>
          <w:p w14:paraId="26DBA3A3" w14:textId="77777777" w:rsidR="00485EE6" w:rsidRDefault="00485EE6" w:rsidP="0004641B">
            <w:r>
              <w:lastRenderedPageBreak/>
              <w:t>None</w:t>
            </w:r>
          </w:p>
        </w:tc>
      </w:tr>
      <w:tr w:rsidR="00485EE6" w:rsidRPr="00EE616C" w14:paraId="0E9FBADC" w14:textId="77777777" w:rsidTr="0004641B">
        <w:tc>
          <w:tcPr>
            <w:tcW w:w="1512" w:type="dxa"/>
          </w:tcPr>
          <w:p w14:paraId="43D17495" w14:textId="77777777" w:rsidR="00485EE6" w:rsidRDefault="00485EE6" w:rsidP="0004641B">
            <w:r>
              <w:t>07</w:t>
            </w:r>
          </w:p>
        </w:tc>
        <w:tc>
          <w:tcPr>
            <w:tcW w:w="1512" w:type="dxa"/>
          </w:tcPr>
          <w:p w14:paraId="55724827" w14:textId="77777777" w:rsidR="00485EE6" w:rsidRDefault="00485EE6" w:rsidP="0004641B">
            <w:r>
              <w:t>1</w:t>
            </w:r>
          </w:p>
        </w:tc>
        <w:tc>
          <w:tcPr>
            <w:tcW w:w="1512" w:type="dxa"/>
          </w:tcPr>
          <w:p w14:paraId="1C46D9B6" w14:textId="77777777" w:rsidR="00485EE6" w:rsidRDefault="00485EE6" w:rsidP="0004641B">
            <w:r>
              <w:t>1 level</w:t>
            </w:r>
          </w:p>
        </w:tc>
        <w:tc>
          <w:tcPr>
            <w:tcW w:w="1512" w:type="dxa"/>
          </w:tcPr>
          <w:p w14:paraId="651AD0EA" w14:textId="77777777" w:rsidR="00485EE6" w:rsidRDefault="00485EE6" w:rsidP="0004641B">
            <w:r>
              <w:t>1D rectangle on PE-A</w:t>
            </w:r>
          </w:p>
        </w:tc>
        <w:tc>
          <w:tcPr>
            <w:tcW w:w="1512" w:type="dxa"/>
          </w:tcPr>
          <w:p w14:paraId="50CD8AE1" w14:textId="77777777" w:rsidR="00485EE6" w:rsidRDefault="00485EE6" w:rsidP="0004641B">
            <w:r>
              <w:t>Log (t=262144, m=4.5)</w:t>
            </w:r>
          </w:p>
        </w:tc>
        <w:tc>
          <w:tcPr>
            <w:tcW w:w="1512" w:type="dxa"/>
          </w:tcPr>
          <w:p w14:paraId="7855CCD3" w14:textId="77777777" w:rsidR="00485EE6" w:rsidRPr="00977AB2" w:rsidRDefault="00485EE6" w:rsidP="0004641B">
            <w:pPr>
              <w:rPr>
                <w:lang w:val="en-US"/>
              </w:rPr>
            </w:pPr>
            <w:r w:rsidRPr="00977AB2">
              <w:rPr>
                <w:lang w:val="en-US"/>
              </w:rPr>
              <w:t>Gate position drifts on round-trip; minor count difference expected</w:t>
            </w:r>
          </w:p>
        </w:tc>
      </w:tr>
      <w:tr w:rsidR="00485EE6" w14:paraId="569526BA" w14:textId="77777777" w:rsidTr="0004641B">
        <w:tc>
          <w:tcPr>
            <w:tcW w:w="1512" w:type="dxa"/>
          </w:tcPr>
          <w:p w14:paraId="20D0354F" w14:textId="77777777" w:rsidR="00485EE6" w:rsidRDefault="00485EE6" w:rsidP="0004641B">
            <w:r>
              <w:t>08</w:t>
            </w:r>
          </w:p>
        </w:tc>
        <w:tc>
          <w:tcPr>
            <w:tcW w:w="1512" w:type="dxa"/>
          </w:tcPr>
          <w:p w14:paraId="6E99D1B1" w14:textId="77777777" w:rsidR="00485EE6" w:rsidRDefault="00485EE6" w:rsidP="0004641B">
            <w:r>
              <w:t>1</w:t>
            </w:r>
          </w:p>
        </w:tc>
        <w:tc>
          <w:tcPr>
            <w:tcW w:w="1512" w:type="dxa"/>
          </w:tcPr>
          <w:p w14:paraId="1E0E63C5" w14:textId="77777777" w:rsidR="00485EE6" w:rsidRDefault="00485EE6" w:rsidP="0004641B">
            <w:r>
              <w:t>1 level</w:t>
            </w:r>
          </w:p>
        </w:tc>
        <w:tc>
          <w:tcPr>
            <w:tcW w:w="1512" w:type="dxa"/>
          </w:tcPr>
          <w:p w14:paraId="291648C5" w14:textId="77777777" w:rsidR="00485EE6" w:rsidRDefault="00485EE6" w:rsidP="0004641B">
            <w:r>
              <w:t>1D rectangle on APC-A</w:t>
            </w:r>
          </w:p>
        </w:tc>
        <w:tc>
          <w:tcPr>
            <w:tcW w:w="1512" w:type="dxa"/>
          </w:tcPr>
          <w:p w14:paraId="56F27CFD" w14:textId="77777777" w:rsidR="00485EE6" w:rsidRDefault="00485EE6" w:rsidP="0004641B">
            <w:r>
              <w:t>Arcsinh (T=262144, M=4.5, A=0)</w:t>
            </w:r>
          </w:p>
        </w:tc>
        <w:tc>
          <w:tcPr>
            <w:tcW w:w="1512" w:type="dxa"/>
          </w:tcPr>
          <w:p w14:paraId="2FB1E46E" w14:textId="77777777" w:rsidR="00485EE6" w:rsidRDefault="00485EE6" w:rsidP="0004641B">
            <w:r w:rsidRPr="0058437D">
              <w:rPr>
                <w:lang w:val="en-US"/>
              </w:rPr>
              <w:t xml:space="preserve">Arcsinh transform not correctly rendered in FJ11 when imported from v10 XML; excluded from FJ11 count comparison. </w:t>
            </w:r>
            <w:r w:rsidRPr="0058437D">
              <w:t>FJ10 count is exact (diff = 0).</w:t>
            </w:r>
          </w:p>
        </w:tc>
      </w:tr>
      <w:tr w:rsidR="00485EE6" w14:paraId="355C7CA7" w14:textId="77777777" w:rsidTr="0004641B">
        <w:tc>
          <w:tcPr>
            <w:tcW w:w="1512" w:type="dxa"/>
          </w:tcPr>
          <w:p w14:paraId="32FB9473" w14:textId="77777777" w:rsidR="00485EE6" w:rsidRDefault="00485EE6" w:rsidP="0004641B">
            <w:r>
              <w:t>09</w:t>
            </w:r>
          </w:p>
        </w:tc>
        <w:tc>
          <w:tcPr>
            <w:tcW w:w="1512" w:type="dxa"/>
          </w:tcPr>
          <w:p w14:paraId="787AC250" w14:textId="77777777" w:rsidR="00485EE6" w:rsidRDefault="00485EE6" w:rsidP="0004641B">
            <w:r>
              <w:t>1</w:t>
            </w:r>
          </w:p>
        </w:tc>
        <w:tc>
          <w:tcPr>
            <w:tcW w:w="1512" w:type="dxa"/>
          </w:tcPr>
          <w:p w14:paraId="187D5C4B" w14:textId="77777777" w:rsidR="00485EE6" w:rsidRDefault="00485EE6" w:rsidP="0004641B">
            <w:r>
              <w:t>2 levels: cells → singlets</w:t>
            </w:r>
          </w:p>
        </w:tc>
        <w:tc>
          <w:tcPr>
            <w:tcW w:w="1512" w:type="dxa"/>
          </w:tcPr>
          <w:p w14:paraId="1C4A6C02" w14:textId="77777777" w:rsidR="00485EE6" w:rsidRDefault="00485EE6" w:rsidP="0004641B">
            <w:r>
              <w:t>2D rectangle × 2</w:t>
            </w:r>
          </w:p>
        </w:tc>
        <w:tc>
          <w:tcPr>
            <w:tcW w:w="1512" w:type="dxa"/>
          </w:tcPr>
          <w:p w14:paraId="6E1E5C7E" w14:textId="77777777" w:rsidR="00485EE6" w:rsidRDefault="00485EE6" w:rsidP="0004641B">
            <w:r>
              <w:t>Linear</w:t>
            </w:r>
          </w:p>
        </w:tc>
        <w:tc>
          <w:tcPr>
            <w:tcW w:w="1512" w:type="dxa"/>
          </w:tcPr>
          <w:p w14:paraId="1DCF50D3" w14:textId="77777777" w:rsidR="00485EE6" w:rsidRDefault="00485EE6" w:rsidP="0004641B">
            <w:r>
              <w:t>None</w:t>
            </w:r>
          </w:p>
        </w:tc>
      </w:tr>
      <w:tr w:rsidR="00485EE6" w14:paraId="61F987E4" w14:textId="77777777" w:rsidTr="0004641B">
        <w:tc>
          <w:tcPr>
            <w:tcW w:w="1512" w:type="dxa"/>
          </w:tcPr>
          <w:p w14:paraId="3826EFE1" w14:textId="77777777" w:rsidR="00485EE6" w:rsidRDefault="00485EE6" w:rsidP="0004641B">
            <w:r>
              <w:t>10</w:t>
            </w:r>
          </w:p>
        </w:tc>
        <w:tc>
          <w:tcPr>
            <w:tcW w:w="1512" w:type="dxa"/>
          </w:tcPr>
          <w:p w14:paraId="48CD6314" w14:textId="77777777" w:rsidR="00485EE6" w:rsidRDefault="00485EE6" w:rsidP="0004641B">
            <w:r>
              <w:t>1</w:t>
            </w:r>
          </w:p>
        </w:tc>
        <w:tc>
          <w:tcPr>
            <w:tcW w:w="1512" w:type="dxa"/>
          </w:tcPr>
          <w:p w14:paraId="0A5ED607" w14:textId="77777777" w:rsidR="00485EE6" w:rsidRPr="00977AB2" w:rsidRDefault="00485EE6" w:rsidP="0004641B">
            <w:pPr>
              <w:rPr>
                <w:lang w:val="en-US"/>
              </w:rPr>
            </w:pPr>
            <w:r w:rsidRPr="00977AB2">
              <w:rPr>
                <w:lang w:val="en-US"/>
              </w:rPr>
              <w:t>2 levels: root → {FSC_gate, SSC_gate, both}</w:t>
            </w:r>
          </w:p>
        </w:tc>
        <w:tc>
          <w:tcPr>
            <w:tcW w:w="1512" w:type="dxa"/>
          </w:tcPr>
          <w:p w14:paraId="73458343" w14:textId="77777777" w:rsidR="00485EE6" w:rsidRDefault="00485EE6" w:rsidP="0004641B">
            <w:r>
              <w:t>2× 1D rectangle + Boolean AND</w:t>
            </w:r>
          </w:p>
        </w:tc>
        <w:tc>
          <w:tcPr>
            <w:tcW w:w="1512" w:type="dxa"/>
          </w:tcPr>
          <w:p w14:paraId="4CC98E6F" w14:textId="77777777" w:rsidR="00485EE6" w:rsidRDefault="00485EE6" w:rsidP="0004641B">
            <w:r>
              <w:t>Linear</w:t>
            </w:r>
          </w:p>
        </w:tc>
        <w:tc>
          <w:tcPr>
            <w:tcW w:w="1512" w:type="dxa"/>
          </w:tcPr>
          <w:p w14:paraId="6B6A2425" w14:textId="77777777" w:rsidR="00485EE6" w:rsidRDefault="00485EE6" w:rsidP="0004641B">
            <w:r>
              <w:t>None</w:t>
            </w:r>
          </w:p>
        </w:tc>
      </w:tr>
      <w:tr w:rsidR="00485EE6" w:rsidRPr="0058437D" w14:paraId="3AEC3F8A" w14:textId="77777777" w:rsidTr="0004641B">
        <w:tc>
          <w:tcPr>
            <w:tcW w:w="1512" w:type="dxa"/>
          </w:tcPr>
          <w:p w14:paraId="3CDF179C" w14:textId="77777777" w:rsidR="00485EE6" w:rsidRDefault="00485EE6" w:rsidP="0004641B">
            <w:r>
              <w:t>11</w:t>
            </w:r>
          </w:p>
        </w:tc>
        <w:tc>
          <w:tcPr>
            <w:tcW w:w="1512" w:type="dxa"/>
          </w:tcPr>
          <w:p w14:paraId="55999715" w14:textId="77777777" w:rsidR="00485EE6" w:rsidRDefault="00485EE6" w:rsidP="0004641B">
            <w:r>
              <w:t>22</w:t>
            </w:r>
          </w:p>
        </w:tc>
        <w:tc>
          <w:tcPr>
            <w:tcW w:w="1512" w:type="dxa"/>
          </w:tcPr>
          <w:p w14:paraId="0045F18D" w14:textId="77777777" w:rsidR="00485EE6" w:rsidRDefault="00485EE6" w:rsidP="0004641B">
            <w:r>
              <w:t>2 levels: cells → {FITC_pos, APC_pos, singlets, double_pos, either_pos}</w:t>
            </w:r>
          </w:p>
        </w:tc>
        <w:tc>
          <w:tcPr>
            <w:tcW w:w="1512" w:type="dxa"/>
          </w:tcPr>
          <w:p w14:paraId="16505770" w14:textId="77777777" w:rsidR="00485EE6" w:rsidRPr="00977AB2" w:rsidRDefault="00485EE6" w:rsidP="0004641B">
            <w:pPr>
              <w:rPr>
                <w:lang w:val="en-US"/>
              </w:rPr>
            </w:pPr>
            <w:r w:rsidRPr="00977AB2">
              <w:rPr>
                <w:lang w:val="en-US"/>
              </w:rPr>
              <w:t>2D rect + 2× 1D rect + polygon + 2× boolean</w:t>
            </w:r>
          </w:p>
        </w:tc>
        <w:tc>
          <w:tcPr>
            <w:tcW w:w="1512" w:type="dxa"/>
          </w:tcPr>
          <w:p w14:paraId="2337136C" w14:textId="77777777" w:rsidR="00485EE6" w:rsidRPr="00977AB2" w:rsidRDefault="00485EE6" w:rsidP="0004641B">
            <w:pPr>
              <w:rPr>
                <w:lang w:val="en-US"/>
              </w:rPr>
            </w:pPr>
            <w:r w:rsidRPr="00977AB2">
              <w:rPr>
                <w:lang w:val="en-US"/>
              </w:rPr>
              <w:t>Biexponential (FITC-A) + arcsinh (APC-A) + linear</w:t>
            </w:r>
          </w:p>
        </w:tc>
        <w:tc>
          <w:tcPr>
            <w:tcW w:w="1512" w:type="dxa"/>
          </w:tcPr>
          <w:p w14:paraId="12F0CCC4" w14:textId="77777777" w:rsidR="00485EE6" w:rsidRPr="0058437D" w:rsidRDefault="00485EE6" w:rsidP="0004641B">
            <w:pPr>
              <w:rPr>
                <w:lang w:val="en-US"/>
              </w:rPr>
            </w:pPr>
            <w:r w:rsidRPr="0058437D">
              <w:rPr>
                <w:lang w:val="en-US"/>
              </w:rPr>
              <w:t xml:space="preserve">Boolean gates (double_pos, either_pos) not imported by FJ11; required manual reconstruction; excluded from FJ11 comparison. APC_pos (arcsinh) also excluded from FJ11 comparison. </w:t>
            </w:r>
          </w:p>
        </w:tc>
      </w:tr>
      <w:tr w:rsidR="00485EE6" w:rsidRPr="00EE616C" w14:paraId="3F7EAF61" w14:textId="77777777" w:rsidTr="0004641B">
        <w:tc>
          <w:tcPr>
            <w:tcW w:w="1512" w:type="dxa"/>
          </w:tcPr>
          <w:p w14:paraId="144E5DCA" w14:textId="77777777" w:rsidR="00485EE6" w:rsidRDefault="00485EE6" w:rsidP="0004641B">
            <w:r>
              <w:lastRenderedPageBreak/>
              <w:t>12</w:t>
            </w:r>
          </w:p>
        </w:tc>
        <w:tc>
          <w:tcPr>
            <w:tcW w:w="1512" w:type="dxa"/>
          </w:tcPr>
          <w:p w14:paraId="1D70BAE5" w14:textId="77777777" w:rsidR="00485EE6" w:rsidRDefault="00485EE6" w:rsidP="0004641B">
            <w:r>
              <w:t>1</w:t>
            </w:r>
          </w:p>
        </w:tc>
        <w:tc>
          <w:tcPr>
            <w:tcW w:w="1512" w:type="dxa"/>
          </w:tcPr>
          <w:p w14:paraId="08BE92A0" w14:textId="77777777" w:rsidR="00485EE6" w:rsidRPr="00977AB2" w:rsidRDefault="00485EE6" w:rsidP="0004641B">
            <w:pPr>
              <w:rPr>
                <w:lang w:val="en-US"/>
              </w:rPr>
            </w:pPr>
            <w:r w:rsidRPr="00977AB2">
              <w:rPr>
                <w:lang w:val="en-US"/>
              </w:rPr>
              <w:t>2 levels: root → {cells, scatter_ellipse}; cells → {FITC_hi, PE_hi, double_hi, either_hi, neither}</w:t>
            </w:r>
          </w:p>
        </w:tc>
        <w:tc>
          <w:tcPr>
            <w:tcW w:w="1512" w:type="dxa"/>
          </w:tcPr>
          <w:p w14:paraId="120BB6C8" w14:textId="77777777" w:rsidR="00485EE6" w:rsidRPr="00977AB2" w:rsidRDefault="00485EE6" w:rsidP="0004641B">
            <w:pPr>
              <w:rPr>
                <w:lang w:val="en-US"/>
              </w:rPr>
            </w:pPr>
            <w:r w:rsidRPr="00977AB2">
              <w:rPr>
                <w:lang w:val="en-US"/>
              </w:rPr>
              <w:t>2D rect + ellipsoid + 2× range + 3× boolean (AND/OR/NOT)</w:t>
            </w:r>
          </w:p>
        </w:tc>
        <w:tc>
          <w:tcPr>
            <w:tcW w:w="1512" w:type="dxa"/>
          </w:tcPr>
          <w:p w14:paraId="666FC20A" w14:textId="77777777" w:rsidR="00485EE6" w:rsidRPr="00977AB2" w:rsidRDefault="00485EE6" w:rsidP="0004641B">
            <w:pPr>
              <w:rPr>
                <w:lang w:val="en-US"/>
              </w:rPr>
            </w:pPr>
            <w:r w:rsidRPr="00977AB2">
              <w:rPr>
                <w:lang w:val="en-US"/>
              </w:rPr>
              <w:t>Log (PE-A) + biexponential (FITC-A) + linear</w:t>
            </w:r>
          </w:p>
        </w:tc>
        <w:tc>
          <w:tcPr>
            <w:tcW w:w="1512" w:type="dxa"/>
          </w:tcPr>
          <w:p w14:paraId="6873D9FD" w14:textId="77777777" w:rsidR="00485EE6" w:rsidRPr="00977AB2" w:rsidRDefault="00485EE6" w:rsidP="0004641B">
            <w:pPr>
              <w:rPr>
                <w:lang w:val="en-US"/>
              </w:rPr>
            </w:pPr>
            <w:r w:rsidRPr="0058437D">
              <w:rPr>
                <w:lang w:val="en-US"/>
              </w:rPr>
              <w:t>Log-transformed gate PE_hi severely misinterpreted by FJ11 on direct import (FJ11 = 2032 vs R = 3831; 1799-cell discrepancy, 47%); correctly restored after manual gate revision in FJ11. Boolean gates not imported by FJ11; required manual reconstruction. Ellipse gate (scatter_ellipse) required manual redrawing in FJ11.</w:t>
            </w:r>
          </w:p>
        </w:tc>
      </w:tr>
      <w:tr w:rsidR="00485EE6" w:rsidRPr="00EE616C" w14:paraId="56E11B81" w14:textId="77777777" w:rsidTr="0004641B">
        <w:tc>
          <w:tcPr>
            <w:tcW w:w="1512" w:type="dxa"/>
          </w:tcPr>
          <w:p w14:paraId="7A1AE85D" w14:textId="77777777" w:rsidR="00485EE6" w:rsidRDefault="00485EE6" w:rsidP="0004641B">
            <w:r>
              <w:t>13</w:t>
            </w:r>
          </w:p>
        </w:tc>
        <w:tc>
          <w:tcPr>
            <w:tcW w:w="1512" w:type="dxa"/>
          </w:tcPr>
          <w:p w14:paraId="7551269A" w14:textId="77777777" w:rsidR="00485EE6" w:rsidRDefault="00485EE6" w:rsidP="0004641B">
            <w:r>
              <w:t>1</w:t>
            </w:r>
          </w:p>
        </w:tc>
        <w:tc>
          <w:tcPr>
            <w:tcW w:w="1512" w:type="dxa"/>
          </w:tcPr>
          <w:p w14:paraId="4542D4A9" w14:textId="77777777" w:rsidR="00485EE6" w:rsidRPr="00977AB2" w:rsidRDefault="00485EE6" w:rsidP="0004641B">
            <w:pPr>
              <w:rPr>
                <w:lang w:val="en-US"/>
              </w:rPr>
            </w:pPr>
            <w:r w:rsidRPr="00977AB2">
              <w:rPr>
                <w:lang w:val="en-US"/>
              </w:rPr>
              <w:t>3 levels: live → {singlets, FITC_PE_gate}; singlets → {FITC_pos, APC_pos, double_pos, not_double}</w:t>
            </w:r>
          </w:p>
        </w:tc>
        <w:tc>
          <w:tcPr>
            <w:tcW w:w="1512" w:type="dxa"/>
          </w:tcPr>
          <w:p w14:paraId="2FE534D5" w14:textId="77777777" w:rsidR="00485EE6" w:rsidRPr="00977AB2" w:rsidRDefault="00485EE6" w:rsidP="0004641B">
            <w:pPr>
              <w:rPr>
                <w:lang w:val="en-US"/>
              </w:rPr>
            </w:pPr>
            <w:r w:rsidRPr="00977AB2">
              <w:rPr>
                <w:lang w:val="en-US"/>
              </w:rPr>
              <w:t>Polygon + 2D rect + ellipsoid + 3× 1D rect + 2× boolean</w:t>
            </w:r>
          </w:p>
        </w:tc>
        <w:tc>
          <w:tcPr>
            <w:tcW w:w="1512" w:type="dxa"/>
          </w:tcPr>
          <w:p w14:paraId="07289644" w14:textId="77777777" w:rsidR="00485EE6" w:rsidRPr="00977AB2" w:rsidRDefault="00485EE6" w:rsidP="0004641B">
            <w:pPr>
              <w:rPr>
                <w:lang w:val="en-US"/>
              </w:rPr>
            </w:pPr>
            <w:r w:rsidRPr="00977AB2">
              <w:rPr>
                <w:lang w:val="en-US"/>
              </w:rPr>
              <w:t>Arcsinh (FITC-A, PE-A, APC-A) + linear</w:t>
            </w:r>
          </w:p>
        </w:tc>
        <w:tc>
          <w:tcPr>
            <w:tcW w:w="1512" w:type="dxa"/>
          </w:tcPr>
          <w:p w14:paraId="3B195BBC" w14:textId="77777777" w:rsidR="00485EE6" w:rsidRPr="00977AB2" w:rsidRDefault="00485EE6" w:rsidP="0004641B">
            <w:pPr>
              <w:rPr>
                <w:lang w:val="en-US"/>
              </w:rPr>
            </w:pPr>
            <w:r w:rsidRPr="0058437D">
              <w:rPr>
                <w:lang w:val="en-US"/>
              </w:rPr>
              <w:t>Excluded from FJ11 comparison: arcsinh-based ellipse (FITC_PE_gate) shows large discrepancy (FJ11 = 2158 vs R = 2983; diff = 825 cells). All arcsinh gates (FITC_pos, APC_pos, FITC_PE_ga</w:t>
            </w:r>
            <w:r w:rsidRPr="0058437D">
              <w:rPr>
                <w:lang w:val="en-US"/>
              </w:rPr>
              <w:lastRenderedPageBreak/>
              <w:t>te) and boolean gates (double_pos, not_double) excluded from FJ11 comparison.</w:t>
            </w:r>
          </w:p>
        </w:tc>
      </w:tr>
      <w:tr w:rsidR="00485EE6" w:rsidRPr="00431A34" w14:paraId="08A120BF" w14:textId="77777777" w:rsidTr="0004641B">
        <w:tc>
          <w:tcPr>
            <w:tcW w:w="1512" w:type="dxa"/>
          </w:tcPr>
          <w:p w14:paraId="14E90666" w14:textId="77777777" w:rsidR="00485EE6" w:rsidRDefault="00485EE6" w:rsidP="0004641B">
            <w:r>
              <w:lastRenderedPageBreak/>
              <w:t>14</w:t>
            </w:r>
          </w:p>
        </w:tc>
        <w:tc>
          <w:tcPr>
            <w:tcW w:w="1512" w:type="dxa"/>
          </w:tcPr>
          <w:p w14:paraId="4AA7250F" w14:textId="77777777" w:rsidR="00485EE6" w:rsidRDefault="00485EE6" w:rsidP="0004641B">
            <w:r w:rsidRPr="00E30EFE">
              <w:t>1 (real)</w:t>
            </w:r>
          </w:p>
        </w:tc>
        <w:tc>
          <w:tcPr>
            <w:tcW w:w="1512" w:type="dxa"/>
          </w:tcPr>
          <w:p w14:paraId="09459E86" w14:textId="77777777" w:rsidR="00485EE6" w:rsidRPr="0080169A" w:rsidRDefault="00485EE6" w:rsidP="0004641B">
            <w:r w:rsidRPr="00E30EFE">
              <w:t>3 levels: Lymphocytes → Singlets → Singlets2 → {NK1_1+, NK1_1−, NK cells, NK T cells, B cells, T cells}; T cells → {Ab T cells, Gd T cells}; Ab T cells → {CD4, CD8, DN, DP T cells}</w:t>
            </w:r>
          </w:p>
        </w:tc>
        <w:tc>
          <w:tcPr>
            <w:tcW w:w="1512" w:type="dxa"/>
          </w:tcPr>
          <w:p w14:paraId="4EDF27A3" w14:textId="77777777" w:rsidR="00485EE6" w:rsidRPr="0080169A" w:rsidRDefault="00485EE6" w:rsidP="0004641B">
            <w:r w:rsidRPr="00E30EFE">
              <w:t>Polygon (Lymphocytes, Ab T cells, Gd T cells); 2D rectangle × 9; 1D rectangle × 2</w:t>
            </w:r>
          </w:p>
        </w:tc>
        <w:tc>
          <w:tcPr>
            <w:tcW w:w="1512" w:type="dxa"/>
          </w:tcPr>
          <w:p w14:paraId="62007174" w14:textId="77777777" w:rsidR="00485EE6" w:rsidRPr="00977AB2" w:rsidRDefault="00485EE6" w:rsidP="0004641B">
            <w:pPr>
              <w:rPr>
                <w:lang w:val="en-US"/>
              </w:rPr>
            </w:pPr>
            <w:r w:rsidRPr="00E30EFE">
              <w:t>Linear (scatter); biexponential (fluorescence, compensation applied)</w:t>
            </w:r>
          </w:p>
        </w:tc>
        <w:tc>
          <w:tcPr>
            <w:tcW w:w="1512" w:type="dxa"/>
          </w:tcPr>
          <w:p w14:paraId="460D55CB" w14:textId="77777777" w:rsidR="00485EE6" w:rsidRPr="0058437D" w:rsidRDefault="00485EE6" w:rsidP="0004641B">
            <w:pPr>
              <w:rPr>
                <w:lang w:val="en-US"/>
              </w:rPr>
            </w:pPr>
            <w:r w:rsidRPr="0080169A">
              <w:rPr>
                <w:lang w:val="en-US"/>
              </w:rPr>
              <w:t xml:space="preserve">Source: FlowSOM R package (68983.fcs + gating.wsp; mouse bone marrow). Pipeline: CytoML v10 import → CyFj11 v10 export. FJ11: marker name "NK1_1+" not parsed correctly → cascading NA for all downstream populations. </w:t>
            </w:r>
            <w:r w:rsidRPr="00E30EFE">
              <w:t>FJ10: all 15 populations reproduced with max deviation 10 cells (0.05%).</w:t>
            </w:r>
          </w:p>
        </w:tc>
      </w:tr>
    </w:tbl>
    <w:p w14:paraId="2871E441" w14:textId="77777777" w:rsidR="00485EE6" w:rsidRDefault="00DC1950" w:rsidP="00485EE6">
      <w:r>
        <w:rPr>
          <w:noProof/>
        </w:rPr>
        <w:pict w14:anchorId="22074996">
          <v:rect id="_x0000_i1025" alt="" style="width:451.3pt;height:.05pt;mso-width-percent:0;mso-height-percent:0;mso-width-percent:0;mso-height-percent:0" o:hralign="center" o:hrstd="t" o:hr="t"/>
        </w:pict>
      </w:r>
    </w:p>
    <w:p w14:paraId="344E532D" w14:textId="77777777" w:rsidR="00485EE6" w:rsidRDefault="00485EE6" w:rsidP="00485EE6">
      <w:r>
        <w:br w:type="page"/>
      </w:r>
    </w:p>
    <w:p w14:paraId="00B67484" w14:textId="2BA62C59" w:rsidR="00485EE6" w:rsidRDefault="00485EE6" w:rsidP="00485EE6">
      <w:pPr>
        <w:pStyle w:val="Heading1"/>
        <w:numPr>
          <w:ilvl w:val="0"/>
          <w:numId w:val="0"/>
        </w:numPr>
        <w:ind w:left="426"/>
      </w:pPr>
      <w:r>
        <w:lastRenderedPageBreak/>
        <w:t>Appendix B</w:t>
      </w:r>
    </w:p>
    <w:p w14:paraId="00757819" w14:textId="0B77CB5F" w:rsidR="00485EE6" w:rsidRDefault="00485EE6" w:rsidP="00485EE6">
      <w:pPr>
        <w:rPr>
          <w:lang w:val="en-US" w:eastAsia="en-US"/>
        </w:rPr>
      </w:pPr>
      <w:r w:rsidRPr="00485EE6">
        <w:rPr>
          <w:lang w:val="en-US" w:eastAsia="en-US"/>
        </w:rPr>
        <w:t>Per-population count tables (FJ10 and FJ11); Test 14 detail; compensation matrix element-wise comparison; Gating-ML conformance table</w:t>
      </w:r>
    </w:p>
    <w:p w14:paraId="59887B69" w14:textId="77777777" w:rsidR="00485EE6" w:rsidRPr="00485EE6" w:rsidRDefault="00485EE6" w:rsidP="00485EE6">
      <w:pPr>
        <w:rPr>
          <w:lang w:val="en-US" w:eastAsia="en-US"/>
        </w:rPr>
      </w:pPr>
    </w:p>
    <w:p w14:paraId="2FCE2708" w14:textId="77777777" w:rsidR="00485EE6" w:rsidRPr="001F2645" w:rsidRDefault="00485EE6" w:rsidP="00485EE6">
      <w:pPr>
        <w:rPr>
          <w:lang w:val="en-FR"/>
        </w:rPr>
      </w:pPr>
      <w:r w:rsidRPr="001F2645">
        <w:rPr>
          <w:lang w:val="en-FR"/>
        </w:rPr>
        <w:t>5.1. Results Overview</w:t>
      </w:r>
    </w:p>
    <w:p w14:paraId="12BC3700" w14:textId="77777777" w:rsidR="00485EE6" w:rsidRPr="001F2645" w:rsidRDefault="00485EE6" w:rsidP="00485EE6">
      <w:pPr>
        <w:rPr>
          <w:lang w:val="en-FR"/>
        </w:rPr>
      </w:pPr>
      <w:r w:rsidRPr="001F2645">
        <w:rPr>
          <w:lang w:val="en-FR"/>
        </w:rPr>
        <w:t>CyFj11 was validated using 13 structured test scenarios designed to exercise all supported gate types and transformation types in isolation and in combination; full scenario descriptions are provided in Supplementary File 2. Gate types covered include rectangle, polygon, ellipsoid, range, quadrant, and boolean; transformation types include linear, biexponential, log, and arcsinh. Edge cases — hierarchical gating, boolean combinations, and mixed-transformation workflows — were explicitly represented. A fourteenth test (Test 14) used a real-world immunophenotyping dataset to validate the complete CytoML-to-CyFj11 pipeline and to assess compensation matrix export fidelity; it is described separately in Section 5.4.</w:t>
      </w:r>
    </w:p>
    <w:p w14:paraId="5996AD5A" w14:textId="77777777" w:rsidR="00485EE6" w:rsidRPr="001F2645" w:rsidRDefault="00485EE6" w:rsidP="00485EE6">
      <w:pPr>
        <w:rPr>
          <w:lang w:val="en-FR"/>
        </w:rPr>
      </w:pPr>
    </w:p>
    <w:p w14:paraId="048531F0" w14:textId="77777777" w:rsidR="00485EE6" w:rsidRPr="001F2645" w:rsidRDefault="00485EE6" w:rsidP="00485EE6">
      <w:pPr>
        <w:rPr>
          <w:lang w:val="en-FR"/>
        </w:rPr>
      </w:pPr>
      <w:r w:rsidRPr="001F2645">
        <w:rPr>
          <w:lang w:val="en-FR"/>
        </w:rPr>
        <w:t xml:space="preserve">For each of the 13 synthetic scenarios, FCS files were generated in R using flowCore and flowWorkspace, a GatingSet was constructed, and the result was exported to a FlowJo v10 (FJ10) workspace file via export_flowjo10_workspace(). Each exported file was opened in both FlowJo v10 and FlowJo v11 and population counts were compared against the R-derived ground truth. All source code, test workspaces, FCS files, and analysis scripts are deposited at </w:t>
      </w:r>
      <w:hyperlink r:id="rId13" w:history="1">
        <w:r w:rsidRPr="00FD1965">
          <w:rPr>
            <w:rStyle w:val="Hyperlink"/>
            <w:lang w:val="en-FR"/>
          </w:rPr>
          <w:t>https://doi.org/10.5281/zenodo.20933199</w:t>
        </w:r>
      </w:hyperlink>
      <w:r w:rsidRPr="001F2645">
        <w:rPr>
          <w:lang w:val="en-FR"/>
        </w:rPr>
        <w:t>. Test 14 uses the example dataset distributed with the FlowSOM R package (68983.fcs; van Gassen et al.) together with its included gating workspace (gating.wsp). Unlike tests 01–13, the GatingSet for test 14 was not constructed from scratch in R but imported from an existing FlowJo v10 workspace using CytoML::flowjo_to_gatingset() (path = test14/, subset = "68983.fcs"). The imported GatingSet was then re-exported using export_flowjo10_workspace(). This pipeline tests the CytoML → CyFj11 interoperability path and the preservation of compensation matrices through import and re-export. The FlowSOM package must be installed to reproduce this test (BiocManager::install("FlowSOM")).</w:t>
      </w:r>
    </w:p>
    <w:p w14:paraId="04D9684F" w14:textId="77777777" w:rsidR="00485EE6" w:rsidRPr="001F2645" w:rsidRDefault="00485EE6" w:rsidP="00485EE6">
      <w:pPr>
        <w:rPr>
          <w:lang w:val="en-FR"/>
        </w:rPr>
      </w:pPr>
    </w:p>
    <w:p w14:paraId="238340F2" w14:textId="77777777" w:rsidR="00485EE6" w:rsidRPr="001F2645" w:rsidRDefault="00485EE6" w:rsidP="00485EE6">
      <w:pPr>
        <w:rPr>
          <w:lang w:val="en-FR"/>
        </w:rPr>
      </w:pPr>
      <w:r w:rsidRPr="001F2645">
        <w:rPr>
          <w:lang w:val="en-FR"/>
        </w:rPr>
        <w:t>FJ10 validation. Of the 20 populations included in the FJ10 comparison — excluding arcsinh-transformed and boolean gates for reasons documented in Section 5.2 — FlowJo v10 showed exact count agreement with R for 15 (75%), with the remaining five differing by at most 14 cells (maximum absolute difference: 0.30%). The mean absolute percentage difference across all 20 populations was 0.024%, confirming high export accuracy. Geometric fidelity was separately confirmed by extracting gate boundary coordinates from the exported XML: coordinates matched the original R definitions exactly across all transformation types tested (linear, biexponential, log, arcsinh). Minor visual discrepancies in gate positioning within the FlowJo interface may arise from platform-specific rendering of transform parameters but do not indicate coordinate errors in the exported XML.</w:t>
      </w:r>
    </w:p>
    <w:p w14:paraId="7D5F37C3" w14:textId="77777777" w:rsidR="00485EE6" w:rsidRDefault="00485EE6" w:rsidP="00485EE6">
      <w:pPr>
        <w:rPr>
          <w:lang w:val="en-FR"/>
        </w:rPr>
      </w:pPr>
    </w:p>
    <w:p w14:paraId="0525AA9A" w14:textId="77777777" w:rsidR="00485EE6" w:rsidRPr="001F2645" w:rsidRDefault="00485EE6" w:rsidP="00485EE6">
      <w:pPr>
        <w:rPr>
          <w:lang w:val="en-FR"/>
        </w:rPr>
      </w:pPr>
      <w:r w:rsidRPr="001F2645">
        <w:rPr>
          <w:lang w:val="en-FR"/>
        </w:rPr>
        <w:t>5.3. Standards Compliance</w:t>
      </w:r>
    </w:p>
    <w:p w14:paraId="110E88C0" w14:textId="77777777" w:rsidR="00485EE6" w:rsidRPr="001F2645" w:rsidRDefault="00485EE6" w:rsidP="00485EE6">
      <w:pPr>
        <w:rPr>
          <w:lang w:val="en-FR"/>
        </w:rPr>
      </w:pPr>
      <w:r w:rsidRPr="001F2645">
        <w:rPr>
          <w:lang w:val="en-FR"/>
        </w:rPr>
        <w:t>Structural conformance to the Gating-ML 2.0 specification was assessed through namespace verification and element attribute checks. All 50 applicable structural checks passed across the 13 test workspaces, confirming correct usage of gate elements (Rectangle, Polygon, Ellipsoid) and transformation definitions (Table 3).</w:t>
      </w:r>
    </w:p>
    <w:p w14:paraId="75A0E711" w14:textId="77777777" w:rsidR="00485EE6" w:rsidRPr="001F2645" w:rsidRDefault="00485EE6" w:rsidP="00485EE6">
      <w:pPr>
        <w:rPr>
          <w:lang w:val="en-FR"/>
        </w:rPr>
      </w:pPr>
    </w:p>
    <w:p w14:paraId="38CD75A8" w14:textId="77777777" w:rsidR="00485EE6" w:rsidRPr="001F2645" w:rsidRDefault="00485EE6" w:rsidP="00485EE6">
      <w:pPr>
        <w:rPr>
          <w:lang w:val="en-FR"/>
        </w:rPr>
      </w:pPr>
      <w:r w:rsidRPr="001F2645">
        <w:rPr>
          <w:lang w:val="en-FR"/>
        </w:rPr>
        <w:t xml:space="preserve">Strict validation against the official Gating-ML 2.0 XSD schema failed for both CyFj11 exports and authentic FlowJo v10 workspaces — a known consequence of FlowJo v10's use of proprietary transformation element names (e.g., transforms:biex) in place of the standard &lt;transforms:transformation&gt; wrapper. Because CyFj11 replicates the native FlowJo v10 </w:t>
      </w:r>
      <w:r w:rsidRPr="001F2645">
        <w:rPr>
          <w:lang w:val="en-FR"/>
        </w:rPr>
        <w:lastRenderedPageBreak/>
        <w:t>format, this deviation is inherent to the target software rather than a deficiency of the export tool.</w:t>
      </w:r>
    </w:p>
    <w:p w14:paraId="3D2778E3" w14:textId="77777777" w:rsidR="00485EE6" w:rsidRPr="001F2645" w:rsidRDefault="00485EE6" w:rsidP="00485EE6">
      <w:pPr>
        <w:rPr>
          <w:lang w:val="en-FR"/>
        </w:rPr>
      </w:pPr>
    </w:p>
    <w:p w14:paraId="2E55618D" w14:textId="77777777" w:rsidR="00485EE6" w:rsidRPr="001F2645" w:rsidRDefault="00485EE6" w:rsidP="00485EE6">
      <w:pPr>
        <w:rPr>
          <w:lang w:val="en-FR"/>
        </w:rPr>
      </w:pPr>
      <w:r w:rsidRPr="001F2645">
        <w:rPr>
          <w:lang w:val="en-FR"/>
        </w:rPr>
        <w:t>With respect to MIFlowCyt compliance, CyFj11 preserves all gating-workspace metadata within scope, including gate definitions, compensation matrices, transformation parameters, and FCS keywords. Metadata external to the workspace file — such as instrument configuration or antibody catalog numbers — remains the user's responsibility to curate. Compensation matrix export is implemented and included in all test workspaces; detailed results are provided in Supplementary File 4.</w:t>
      </w:r>
    </w:p>
    <w:p w14:paraId="1C8C23D5" w14:textId="77777777" w:rsidR="00485EE6" w:rsidRPr="001F2645" w:rsidRDefault="00485EE6" w:rsidP="00485EE6">
      <w:pPr>
        <w:rPr>
          <w:lang w:val="en-FR"/>
        </w:rPr>
      </w:pPr>
    </w:p>
    <w:p w14:paraId="47477267" w14:textId="77777777" w:rsidR="00485EE6" w:rsidRPr="001F2645" w:rsidRDefault="00485EE6" w:rsidP="00485EE6">
      <w:pPr>
        <w:rPr>
          <w:lang w:val="en-FR"/>
        </w:rPr>
      </w:pPr>
      <w:r w:rsidRPr="001F2645">
        <w:rPr>
          <w:lang w:val="en-FR"/>
        </w:rPr>
        <w:t>Table 3. Gating-ML 2.0 Structural Conformance Results.</w:t>
      </w:r>
    </w:p>
    <w:p w14:paraId="1AFCB2F6" w14:textId="77777777" w:rsidR="00485EE6" w:rsidRPr="001F2645" w:rsidRDefault="00485EE6" w:rsidP="00485EE6">
      <w:pPr>
        <w:rPr>
          <w:lang w:val="en-FR"/>
        </w:rPr>
      </w:pPr>
    </w:p>
    <w:p w14:paraId="6B6A3D2A" w14:textId="77777777" w:rsidR="00485EE6" w:rsidRPr="001F2645" w:rsidRDefault="00485EE6" w:rsidP="00485EE6">
      <w:pPr>
        <w:rPr>
          <w:lang w:val="en-FR"/>
        </w:rPr>
      </w:pPr>
      <w:r w:rsidRPr="001F2645">
        <w:rPr>
          <w:lang w:val="en-FR"/>
        </w:rPr>
        <w:t>Check Category</w:t>
      </w:r>
      <w:r w:rsidRPr="001F2645">
        <w:rPr>
          <w:lang w:val="en-FR"/>
        </w:rPr>
        <w:tab/>
        <w:t>Applicable</w:t>
      </w:r>
      <w:r w:rsidRPr="001F2645">
        <w:rPr>
          <w:lang w:val="en-FR"/>
        </w:rPr>
        <w:tab/>
        <w:t>Pass</w:t>
      </w:r>
      <w:r w:rsidRPr="001F2645">
        <w:rPr>
          <w:lang w:val="en-FR"/>
        </w:rPr>
        <w:tab/>
        <w:t>Fail</w:t>
      </w:r>
    </w:p>
    <w:p w14:paraId="65B95E21" w14:textId="77777777" w:rsidR="00485EE6" w:rsidRPr="001F2645" w:rsidRDefault="00485EE6" w:rsidP="00485EE6">
      <w:pPr>
        <w:rPr>
          <w:lang w:val="en-FR"/>
        </w:rPr>
      </w:pPr>
      <w:r w:rsidRPr="001F2645">
        <w:rPr>
          <w:lang w:val="en-FR"/>
        </w:rPr>
        <w:t>Namespace URIs</w:t>
      </w:r>
      <w:r w:rsidRPr="001F2645">
        <w:rPr>
          <w:lang w:val="en-FR"/>
        </w:rPr>
        <w:tab/>
        <w:t>13</w:t>
      </w:r>
      <w:r w:rsidRPr="001F2645">
        <w:rPr>
          <w:lang w:val="en-FR"/>
        </w:rPr>
        <w:tab/>
        <w:t>13</w:t>
      </w:r>
      <w:r w:rsidRPr="001F2645">
        <w:rPr>
          <w:lang w:val="en-FR"/>
        </w:rPr>
        <w:tab/>
        <w:t>0</w:t>
      </w:r>
    </w:p>
    <w:p w14:paraId="135D0B28" w14:textId="77777777" w:rsidR="00485EE6" w:rsidRPr="001F2645" w:rsidRDefault="00485EE6" w:rsidP="00485EE6">
      <w:pPr>
        <w:rPr>
          <w:lang w:val="en-FR"/>
        </w:rPr>
      </w:pPr>
      <w:r w:rsidRPr="001F2645">
        <w:rPr>
          <w:lang w:val="en-FR"/>
        </w:rPr>
        <w:t>Gate elements (Rect/Poly/Ellip)</w:t>
      </w:r>
      <w:r w:rsidRPr="001F2645">
        <w:rPr>
          <w:lang w:val="en-FR"/>
        </w:rPr>
        <w:tab/>
        <w:t>16</w:t>
      </w:r>
      <w:r w:rsidRPr="001F2645">
        <w:rPr>
          <w:lang w:val="en-FR"/>
        </w:rPr>
        <w:tab/>
        <w:t>16</w:t>
      </w:r>
      <w:r w:rsidRPr="001F2645">
        <w:rPr>
          <w:lang w:val="en-FR"/>
        </w:rPr>
        <w:tab/>
        <w:t>0</w:t>
      </w:r>
    </w:p>
    <w:p w14:paraId="7381B7F9" w14:textId="77777777" w:rsidR="00485EE6" w:rsidRPr="001F2645" w:rsidRDefault="00485EE6" w:rsidP="00485EE6">
      <w:pPr>
        <w:rPr>
          <w:lang w:val="en-FR"/>
        </w:rPr>
      </w:pPr>
      <w:r w:rsidRPr="001F2645">
        <w:rPr>
          <w:lang w:val="en-FR"/>
        </w:rPr>
        <w:t>Transform elements</w:t>
      </w:r>
      <w:r w:rsidRPr="001F2645">
        <w:rPr>
          <w:lang w:val="en-FR"/>
        </w:rPr>
        <w:tab/>
        <w:t>11</w:t>
      </w:r>
      <w:r w:rsidRPr="001F2645">
        <w:rPr>
          <w:lang w:val="en-FR"/>
        </w:rPr>
        <w:tab/>
        <w:t>11</w:t>
      </w:r>
      <w:r w:rsidRPr="001F2645">
        <w:rPr>
          <w:lang w:val="en-FR"/>
        </w:rPr>
        <w:tab/>
        <w:t>0</w:t>
      </w:r>
    </w:p>
    <w:p w14:paraId="527BBF5F" w14:textId="77777777" w:rsidR="00485EE6" w:rsidRPr="001F2645" w:rsidRDefault="00485EE6" w:rsidP="00485EE6">
      <w:pPr>
        <w:rPr>
          <w:lang w:val="en-FR"/>
        </w:rPr>
      </w:pPr>
      <w:r w:rsidRPr="001F2645">
        <w:rPr>
          <w:lang w:val="en-FR"/>
        </w:rPr>
        <w:t>Overall structural compliance</w:t>
      </w:r>
      <w:r w:rsidRPr="001F2645">
        <w:rPr>
          <w:lang w:val="en-FR"/>
        </w:rPr>
        <w:tab/>
        <w:t>50</w:t>
      </w:r>
      <w:r w:rsidRPr="001F2645">
        <w:rPr>
          <w:lang w:val="en-FR"/>
        </w:rPr>
        <w:tab/>
        <w:t>50</w:t>
      </w:r>
      <w:r w:rsidRPr="001F2645">
        <w:rPr>
          <w:lang w:val="en-FR"/>
        </w:rPr>
        <w:tab/>
        <w:t>0</w:t>
      </w:r>
    </w:p>
    <w:p w14:paraId="70697959" w14:textId="77777777" w:rsidR="00485EE6" w:rsidRPr="001F2645" w:rsidRDefault="00485EE6" w:rsidP="00485EE6">
      <w:pPr>
        <w:rPr>
          <w:lang w:val="en-FR"/>
        </w:rPr>
      </w:pPr>
      <w:r w:rsidRPr="001F2645">
        <w:rPr>
          <w:lang w:val="en-FR"/>
        </w:rPr>
        <w:t>5.4. Real-World Validation and Compensation Matrix Export (Test 14)</w:t>
      </w:r>
    </w:p>
    <w:p w14:paraId="1961435F" w14:textId="77777777" w:rsidR="00485EE6" w:rsidRPr="001F2645" w:rsidRDefault="00485EE6" w:rsidP="00485EE6">
      <w:pPr>
        <w:rPr>
          <w:lang w:val="en-FR"/>
        </w:rPr>
      </w:pPr>
      <w:r w:rsidRPr="001F2645">
        <w:rPr>
          <w:lang w:val="en-FR"/>
        </w:rPr>
        <w:t>To assess export fidelity under real-world conditions and to provide initial evidence for correct compensation matrix handling, Test 14 used the example dataset distributed with the FlowSOM R package (68983.fcs; mouse bone marrow immunophenotyping) together with its associated FlowJo v10 workspace (gating.wsp). This test exercises a more demanding pipeline than tests 01–13: the GatingSet was imported from an existing v10 workspace via CytoML (CytoML::flowjo_to_gatingset()) rather than constructed from scratch in R, and then re-exported to v10 format via export_flowjo10_workspace(). This design validates the complete CytoML-to-CyFj11 round-trip — the most common real-world workflow for researchers transitioning from a FlowJo v10 environment to R-based analysis and back.</w:t>
      </w:r>
    </w:p>
    <w:p w14:paraId="4362468A" w14:textId="77777777" w:rsidR="00485EE6" w:rsidRPr="001F2645" w:rsidRDefault="00485EE6" w:rsidP="00485EE6">
      <w:pPr>
        <w:rPr>
          <w:lang w:val="en-FR"/>
        </w:rPr>
      </w:pPr>
    </w:p>
    <w:p w14:paraId="2C38EA5C" w14:textId="77777777" w:rsidR="00485EE6" w:rsidRPr="001F2645" w:rsidRDefault="00485EE6" w:rsidP="00485EE6">
      <w:pPr>
        <w:rPr>
          <w:lang w:val="en-FR"/>
        </w:rPr>
      </w:pPr>
      <w:r w:rsidRPr="001F2645">
        <w:rPr>
          <w:lang w:val="en-FR"/>
        </w:rPr>
        <w:t>The workspace encompasses a three-level hierarchical gating strategy covering 15 populations across scatter and compensated fluorescence channels (NK1.1, CD3, CD19, TCRβ, TCRγδ, CD4, CD8), with polygon gates for lymphocyte and T cell subsets and 2D rectangle gates for all remaining populations. The compensation matrix embedded in the original workspace was extracted by CytoML during import and preserved by CyFj11 in the exported XML.</w:t>
      </w:r>
    </w:p>
    <w:p w14:paraId="1E83972D" w14:textId="77777777" w:rsidR="00485EE6" w:rsidRPr="001F2645" w:rsidRDefault="00485EE6" w:rsidP="00485EE6">
      <w:pPr>
        <w:rPr>
          <w:lang w:val="en-FR"/>
        </w:rPr>
      </w:pPr>
    </w:p>
    <w:p w14:paraId="394B6553" w14:textId="77777777" w:rsidR="00485EE6" w:rsidRPr="001F2645" w:rsidRDefault="00485EE6" w:rsidP="00485EE6">
      <w:pPr>
        <w:rPr>
          <w:lang w:val="en-FR"/>
        </w:rPr>
      </w:pPr>
      <w:r w:rsidRPr="001F2645">
        <w:rPr>
          <w:lang w:val="en-FR"/>
        </w:rPr>
        <w:t>FlowJo v10 results. Of the 15 populations, 12 showed exact count agreement with R. The remaining three — Lymphocytes, Singlets, and Singlets2, all scatter-channel polygon or rectangle gates — differed by at most 10 cells (0.05%). All 12 populations gated on compensated fluorescence channels — including NK cells, NK T cells, B cells, T cells, αβ T cells, γδ T cells, and CD4/CD8/DN/DP subsets — showed exact or near-exact agreement. These results provide indirect evidence that the compensation matrix was correctly preserved in the exported XML: correct counts on fluorescence-channel axes can only be obtained if the applied compensation matches the original matrix definition. A direct element-wise comparison of the exported &lt;spilloverMatrix&gt; XML block against the original workspace matrix confirmed identity for all entries (Supplementary Table S1).</w:t>
      </w:r>
    </w:p>
    <w:p w14:paraId="1C7B020A" w14:textId="77777777" w:rsidR="00485EE6" w:rsidRPr="001F2645" w:rsidRDefault="00485EE6" w:rsidP="00485EE6">
      <w:pPr>
        <w:rPr>
          <w:lang w:val="en-FR"/>
        </w:rPr>
      </w:pPr>
    </w:p>
    <w:p w14:paraId="3609E7CA" w14:textId="77777777" w:rsidR="00485EE6" w:rsidRDefault="00485EE6" w:rsidP="00485EE6">
      <w:pPr>
        <w:rPr>
          <w:lang w:val="en-FR"/>
        </w:rPr>
      </w:pPr>
      <w:r w:rsidRPr="001F2645">
        <w:rPr>
          <w:lang w:val="en-FR"/>
        </w:rPr>
        <w:t>FlowJo v11 results. As documented in Section 5.2, FlowJo v11 failed to parse the marker name "NK1_1+" from the CyFj11-exported XML, causing cascading inaccessibility of all fluorescence-channel populations. The three scatter-channel populations that were successfully displayed (Lymphocytes, Singlets, Singlets2) showed consistent undercounts of approximately 0.5% relative to R, consistent with the polygon and rectangle gate interpretation behavior observed in tests 04, 09, and 10.</w:t>
      </w:r>
    </w:p>
    <w:p w14:paraId="71154822" w14:textId="77777777" w:rsidR="00485EE6" w:rsidRDefault="00485EE6" w:rsidP="00485EE6">
      <w:pPr>
        <w:rPr>
          <w:lang w:val="en-FR"/>
        </w:rPr>
      </w:pPr>
    </w:p>
    <w:p w14:paraId="785736B9" w14:textId="77777777" w:rsidR="00485EE6" w:rsidRPr="001F2645" w:rsidRDefault="00485EE6" w:rsidP="00485EE6">
      <w:pPr>
        <w:rPr>
          <w:lang w:val="en-FR"/>
        </w:rPr>
      </w:pPr>
      <w:r w:rsidRPr="001F2645">
        <w:rPr>
          <w:lang w:val="en-FR"/>
        </w:rPr>
        <w:t>Table 2. Summary of Population Count Accuracy vs. R Ground Truth.</w:t>
      </w:r>
    </w:p>
    <w:p w14:paraId="44DB56A9" w14:textId="77777777" w:rsidR="00485EE6" w:rsidRPr="001F2645" w:rsidRDefault="00485EE6" w:rsidP="00485EE6">
      <w:pPr>
        <w:rPr>
          <w:lang w:val="en-FR"/>
        </w:rPr>
      </w:pPr>
      <w:r w:rsidRPr="001F2645">
        <w:rPr>
          <w:lang w:val="en-FR"/>
        </w:rPr>
        <w:t>Tests 01–13: synthetic data (arcsinh and boolean gates excluded from FJ11 comparison; see Section 5.2). Test 14: real-world data (FlowSOM example); all populations included for FJ10; FJ11 populations affected by marker naming failure excluded.</w:t>
      </w:r>
    </w:p>
    <w:p w14:paraId="2D986A30" w14:textId="77777777" w:rsidR="00485EE6" w:rsidRPr="001F2645" w:rsidRDefault="00485EE6" w:rsidP="00485EE6">
      <w:pPr>
        <w:rPr>
          <w:lang w:val="en-FR"/>
        </w:rPr>
      </w:pPr>
    </w:p>
    <w:p w14:paraId="4B2E7047" w14:textId="77777777" w:rsidR="00485EE6" w:rsidRPr="001F2645" w:rsidRDefault="00485EE6" w:rsidP="00485EE6">
      <w:pPr>
        <w:rPr>
          <w:lang w:val="en-FR"/>
        </w:rPr>
      </w:pPr>
      <w:r w:rsidRPr="001F2645">
        <w:rPr>
          <w:lang w:val="en-FR"/>
        </w:rPr>
        <w:t>Metric</w:t>
      </w:r>
      <w:r w:rsidRPr="001F2645">
        <w:rPr>
          <w:lang w:val="en-FR"/>
        </w:rPr>
        <w:tab/>
        <w:t>FJ10 (Tests 01–13)</w:t>
      </w:r>
      <w:r w:rsidRPr="001F2645">
        <w:rPr>
          <w:lang w:val="en-FR"/>
        </w:rPr>
        <w:tab/>
        <w:t>FJ11 (Tests 01–13)</w:t>
      </w:r>
      <w:r w:rsidRPr="001F2645">
        <w:rPr>
          <w:lang w:val="en-FR"/>
        </w:rPr>
        <w:tab/>
        <w:t>FJ10 (Test 14)</w:t>
      </w:r>
      <w:r w:rsidRPr="001F2645">
        <w:rPr>
          <w:lang w:val="en-FR"/>
        </w:rPr>
        <w:tab/>
        <w:t>FJ11 (Test 14, scatter only)</w:t>
      </w:r>
    </w:p>
    <w:p w14:paraId="4F964083" w14:textId="77777777" w:rsidR="00485EE6" w:rsidRPr="001F2645" w:rsidRDefault="00485EE6" w:rsidP="00485EE6">
      <w:pPr>
        <w:rPr>
          <w:lang w:val="en-FR"/>
        </w:rPr>
      </w:pPr>
      <w:r w:rsidRPr="001F2645">
        <w:rPr>
          <w:lang w:val="en-FR"/>
        </w:rPr>
        <w:t>Populations tested</w:t>
      </w:r>
      <w:r w:rsidRPr="001F2645">
        <w:rPr>
          <w:lang w:val="en-FR"/>
        </w:rPr>
        <w:tab/>
        <w:t>20</w:t>
      </w:r>
      <w:r w:rsidRPr="001F2645">
        <w:rPr>
          <w:lang w:val="en-FR"/>
        </w:rPr>
        <w:tab/>
        <w:t>20</w:t>
      </w:r>
      <w:r w:rsidRPr="001F2645">
        <w:rPr>
          <w:lang w:val="en-FR"/>
        </w:rPr>
        <w:tab/>
        <w:t>15</w:t>
      </w:r>
      <w:r w:rsidRPr="001F2645">
        <w:rPr>
          <w:lang w:val="en-FR"/>
        </w:rPr>
        <w:tab/>
        <w:t>3</w:t>
      </w:r>
    </w:p>
    <w:p w14:paraId="5235D0EF" w14:textId="77777777" w:rsidR="00485EE6" w:rsidRPr="001F2645" w:rsidRDefault="00485EE6" w:rsidP="00485EE6">
      <w:pPr>
        <w:rPr>
          <w:lang w:val="en-FR"/>
        </w:rPr>
      </w:pPr>
      <w:r w:rsidRPr="001F2645">
        <w:rPr>
          <w:lang w:val="en-FR"/>
        </w:rPr>
        <w:t>Exact agreement</w:t>
      </w:r>
      <w:r w:rsidRPr="001F2645">
        <w:rPr>
          <w:lang w:val="en-FR"/>
        </w:rPr>
        <w:tab/>
        <w:t>15 (75%)</w:t>
      </w:r>
      <w:r w:rsidRPr="001F2645">
        <w:rPr>
          <w:lang w:val="en-FR"/>
        </w:rPr>
        <w:tab/>
        <w:t>4 (20%)</w:t>
      </w:r>
      <w:r w:rsidRPr="001F2645">
        <w:rPr>
          <w:lang w:val="en-FR"/>
        </w:rPr>
        <w:tab/>
        <w:t>12 (80%)</w:t>
      </w:r>
      <w:r w:rsidRPr="001F2645">
        <w:rPr>
          <w:lang w:val="en-FR"/>
        </w:rPr>
        <w:tab/>
        <w:t>0 (0%)</w:t>
      </w:r>
    </w:p>
    <w:p w14:paraId="759D3783" w14:textId="77777777" w:rsidR="00485EE6" w:rsidRPr="001F2645" w:rsidRDefault="00485EE6" w:rsidP="00485EE6">
      <w:pPr>
        <w:rPr>
          <w:lang w:val="en-FR"/>
        </w:rPr>
      </w:pPr>
      <w:r w:rsidRPr="001F2645">
        <w:rPr>
          <w:lang w:val="en-FR"/>
        </w:rPr>
        <w:t>Minor discrepancy ≤0.3%</w:t>
      </w:r>
      <w:r w:rsidRPr="001F2645">
        <w:rPr>
          <w:lang w:val="en-FR"/>
        </w:rPr>
        <w:tab/>
        <w:t>5 (25%)</w:t>
      </w:r>
      <w:r w:rsidRPr="001F2645">
        <w:rPr>
          <w:lang w:val="en-FR"/>
        </w:rPr>
        <w:tab/>
        <w:t>11 (55%)</w:t>
      </w:r>
      <w:r w:rsidRPr="001F2645">
        <w:rPr>
          <w:lang w:val="en-FR"/>
        </w:rPr>
        <w:tab/>
        <w:t>3 (20%)</w:t>
      </w:r>
      <w:r w:rsidRPr="001F2645">
        <w:rPr>
          <w:lang w:val="en-FR"/>
        </w:rPr>
        <w:tab/>
        <w:t>3 (100%)</w:t>
      </w:r>
    </w:p>
    <w:p w14:paraId="2B67A2DD" w14:textId="77777777" w:rsidR="00485EE6" w:rsidRPr="001F2645" w:rsidRDefault="00485EE6" w:rsidP="00485EE6">
      <w:pPr>
        <w:rPr>
          <w:lang w:val="en-FR"/>
        </w:rPr>
      </w:pPr>
      <w:r w:rsidRPr="001F2645">
        <w:rPr>
          <w:lang w:val="en-FR"/>
        </w:rPr>
        <w:t>Major discrepancy &gt;0.3%</w:t>
      </w:r>
      <w:r w:rsidRPr="001F2645">
        <w:rPr>
          <w:lang w:val="en-FR"/>
        </w:rPr>
        <w:tab/>
        <w:t>0 (0%)</w:t>
      </w:r>
      <w:r w:rsidRPr="001F2645">
        <w:rPr>
          <w:lang w:val="en-FR"/>
        </w:rPr>
        <w:tab/>
        <w:t>5 (25%)</w:t>
      </w:r>
      <w:r w:rsidRPr="001F2645">
        <w:rPr>
          <w:lang w:val="en-FR"/>
        </w:rPr>
        <w:tab/>
        <w:t>0 (0%)</w:t>
      </w:r>
      <w:r w:rsidRPr="001F2645">
        <w:rPr>
          <w:lang w:val="en-FR"/>
        </w:rPr>
        <w:tab/>
        <w:t>0 (0%)</w:t>
      </w:r>
    </w:p>
    <w:p w14:paraId="41DFBEF1" w14:textId="77777777" w:rsidR="00485EE6" w:rsidRPr="001F2645" w:rsidRDefault="00485EE6" w:rsidP="00485EE6">
      <w:pPr>
        <w:rPr>
          <w:lang w:val="en-FR"/>
        </w:rPr>
      </w:pPr>
      <w:r w:rsidRPr="001F2645">
        <w:rPr>
          <w:lang w:val="en-FR"/>
        </w:rPr>
        <w:t>Largest absolute difference</w:t>
      </w:r>
      <w:r w:rsidRPr="001F2645">
        <w:rPr>
          <w:lang w:val="en-FR"/>
        </w:rPr>
        <w:tab/>
        <w:t>14 cells (0.30%)</w:t>
      </w:r>
      <w:r w:rsidRPr="001F2645">
        <w:rPr>
          <w:lang w:val="en-FR"/>
        </w:rPr>
        <w:tab/>
        <w:t>202 cells (2.77%)</w:t>
      </w:r>
      <w:r w:rsidRPr="001F2645">
        <w:rPr>
          <w:lang w:val="en-FR"/>
        </w:rPr>
        <w:tab/>
        <w:t>10 cells (0.05%)</w:t>
      </w:r>
      <w:r w:rsidRPr="001F2645">
        <w:rPr>
          <w:lang w:val="en-FR"/>
        </w:rPr>
        <w:tab/>
        <w:t>107 cells (0.57%)</w:t>
      </w:r>
    </w:p>
    <w:p w14:paraId="3FAD0868" w14:textId="77777777" w:rsidR="00485EE6" w:rsidRPr="001F2645" w:rsidRDefault="00485EE6" w:rsidP="00485EE6">
      <w:pPr>
        <w:rPr>
          <w:lang w:val="en-FR"/>
        </w:rPr>
      </w:pPr>
      <w:r w:rsidRPr="001F2645">
        <w:rPr>
          <w:lang w:val="en-FR"/>
        </w:rPr>
        <w:t>Mean absolute % difference</w:t>
      </w:r>
      <w:r w:rsidRPr="001F2645">
        <w:rPr>
          <w:lang w:val="en-FR"/>
        </w:rPr>
        <w:tab/>
        <w:t>0.024%</w:t>
      </w:r>
      <w:r w:rsidRPr="001F2645">
        <w:rPr>
          <w:lang w:val="en-FR"/>
        </w:rPr>
        <w:tab/>
        <w:t>0.29% †</w:t>
      </w:r>
      <w:r w:rsidRPr="001F2645">
        <w:rPr>
          <w:lang w:val="en-FR"/>
        </w:rPr>
        <w:tab/>
        <w:t>0.013%</w:t>
      </w:r>
      <w:r w:rsidRPr="001F2645">
        <w:rPr>
          <w:lang w:val="en-FR"/>
        </w:rPr>
        <w:tab/>
        <w:t>0.51%</w:t>
      </w:r>
    </w:p>
    <w:p w14:paraId="6C2843FD" w14:textId="77777777" w:rsidR="00485EE6" w:rsidRPr="001F2645" w:rsidRDefault="00485EE6" w:rsidP="00485EE6">
      <w:pPr>
        <w:rPr>
          <w:lang w:val="en-FR"/>
        </w:rPr>
      </w:pPr>
      <w:r w:rsidRPr="001F2645">
        <w:rPr>
          <w:lang w:val="en-FR"/>
        </w:rPr>
        <w:t>FJ11 import failures</w:t>
      </w:r>
      <w:r w:rsidRPr="001F2645">
        <w:rPr>
          <w:lang w:val="en-FR"/>
        </w:rPr>
        <w:tab/>
        <w:t>—</w:t>
      </w:r>
      <w:r w:rsidRPr="001F2645">
        <w:rPr>
          <w:lang w:val="en-FR"/>
        </w:rPr>
        <w:tab/>
        <w:t>Boolean + arcsinh gates</w:t>
      </w:r>
      <w:r w:rsidRPr="001F2645">
        <w:rPr>
          <w:lang w:val="en-FR"/>
        </w:rPr>
        <w:tab/>
        <w:t>—</w:t>
      </w:r>
      <w:r w:rsidRPr="001F2645">
        <w:rPr>
          <w:lang w:val="en-FR"/>
        </w:rPr>
        <w:tab/>
        <w:t>Marker naming (cascading)</w:t>
      </w:r>
    </w:p>
    <w:p w14:paraId="5FC52251" w14:textId="77777777" w:rsidR="00485EE6" w:rsidRPr="001F2645" w:rsidRDefault="00485EE6" w:rsidP="00485EE6">
      <w:pPr>
        <w:rPr>
          <w:lang w:val="en-FR"/>
        </w:rPr>
      </w:pPr>
      <w:r w:rsidRPr="001F2645">
        <w:rPr>
          <w:lang w:val="en-FR"/>
        </w:rPr>
        <w:t>† Excluding test12 PE_hi (1799-cell anomaly; FJ11 import-time misinterpretation documented in Section 5.2). Including PE_hi, mean absolute percentage difference rises to approximately 2.6%.</w:t>
      </w:r>
    </w:p>
    <w:p w14:paraId="28C25C5D" w14:textId="77777777" w:rsidR="00485EE6" w:rsidRPr="001F2645" w:rsidRDefault="00485EE6" w:rsidP="00485EE6">
      <w:pPr>
        <w:rPr>
          <w:lang w:val="en-FR"/>
        </w:rPr>
      </w:pPr>
    </w:p>
    <w:p w14:paraId="4EAEA7CB" w14:textId="77777777" w:rsidR="00485EE6" w:rsidRPr="001F2645" w:rsidRDefault="00485EE6" w:rsidP="00485EE6">
      <w:pPr>
        <w:rPr>
          <w:lang w:val="en-FR"/>
        </w:rPr>
      </w:pPr>
      <w:r w:rsidRPr="001F2645">
        <w:rPr>
          <w:lang w:val="en-FR"/>
        </w:rPr>
        <w:t>Table 3. Gating-ML 2.0 Structural Conformance Results.</w:t>
      </w:r>
    </w:p>
    <w:p w14:paraId="1D67FF20" w14:textId="77777777" w:rsidR="00485EE6" w:rsidRPr="001F2645" w:rsidRDefault="00485EE6" w:rsidP="00485EE6">
      <w:pPr>
        <w:rPr>
          <w:lang w:val="en-FR"/>
        </w:rPr>
      </w:pPr>
    </w:p>
    <w:p w14:paraId="39B32313" w14:textId="77777777" w:rsidR="00485EE6" w:rsidRPr="001F2645" w:rsidRDefault="00485EE6" w:rsidP="00485EE6">
      <w:pPr>
        <w:rPr>
          <w:lang w:val="en-FR"/>
        </w:rPr>
      </w:pPr>
      <w:r w:rsidRPr="001F2645">
        <w:rPr>
          <w:lang w:val="en-FR"/>
        </w:rPr>
        <w:t>Check Category</w:t>
      </w:r>
      <w:r w:rsidRPr="001F2645">
        <w:rPr>
          <w:lang w:val="en-FR"/>
        </w:rPr>
        <w:tab/>
        <w:t>Applicable</w:t>
      </w:r>
      <w:r w:rsidRPr="001F2645">
        <w:rPr>
          <w:lang w:val="en-FR"/>
        </w:rPr>
        <w:tab/>
        <w:t>Pass</w:t>
      </w:r>
      <w:r w:rsidRPr="001F2645">
        <w:rPr>
          <w:lang w:val="en-FR"/>
        </w:rPr>
        <w:tab/>
        <w:t>Fail</w:t>
      </w:r>
    </w:p>
    <w:p w14:paraId="28556F70" w14:textId="77777777" w:rsidR="00485EE6" w:rsidRPr="001F2645" w:rsidRDefault="00485EE6" w:rsidP="00485EE6">
      <w:pPr>
        <w:rPr>
          <w:lang w:val="en-FR"/>
        </w:rPr>
      </w:pPr>
      <w:r w:rsidRPr="001F2645">
        <w:rPr>
          <w:lang w:val="en-FR"/>
        </w:rPr>
        <w:t>Namespace URIs</w:t>
      </w:r>
      <w:r w:rsidRPr="001F2645">
        <w:rPr>
          <w:lang w:val="en-FR"/>
        </w:rPr>
        <w:tab/>
        <w:t>13</w:t>
      </w:r>
      <w:r w:rsidRPr="001F2645">
        <w:rPr>
          <w:lang w:val="en-FR"/>
        </w:rPr>
        <w:tab/>
        <w:t>13</w:t>
      </w:r>
      <w:r w:rsidRPr="001F2645">
        <w:rPr>
          <w:lang w:val="en-FR"/>
        </w:rPr>
        <w:tab/>
        <w:t>0</w:t>
      </w:r>
    </w:p>
    <w:p w14:paraId="70A0E5DD" w14:textId="77777777" w:rsidR="00485EE6" w:rsidRPr="001F2645" w:rsidRDefault="00485EE6" w:rsidP="00485EE6">
      <w:pPr>
        <w:rPr>
          <w:lang w:val="en-FR"/>
        </w:rPr>
      </w:pPr>
      <w:r w:rsidRPr="001F2645">
        <w:rPr>
          <w:lang w:val="en-FR"/>
        </w:rPr>
        <w:t>Gate elements (Rect/Poly/Ellip)</w:t>
      </w:r>
      <w:r w:rsidRPr="001F2645">
        <w:rPr>
          <w:lang w:val="en-FR"/>
        </w:rPr>
        <w:tab/>
        <w:t>16</w:t>
      </w:r>
      <w:r w:rsidRPr="001F2645">
        <w:rPr>
          <w:lang w:val="en-FR"/>
        </w:rPr>
        <w:tab/>
        <w:t>16</w:t>
      </w:r>
      <w:r w:rsidRPr="001F2645">
        <w:rPr>
          <w:lang w:val="en-FR"/>
        </w:rPr>
        <w:tab/>
        <w:t>0</w:t>
      </w:r>
    </w:p>
    <w:p w14:paraId="679F48BE" w14:textId="77777777" w:rsidR="00485EE6" w:rsidRPr="001F2645" w:rsidRDefault="00485EE6" w:rsidP="00485EE6">
      <w:pPr>
        <w:rPr>
          <w:lang w:val="en-FR"/>
        </w:rPr>
      </w:pPr>
      <w:r w:rsidRPr="001F2645">
        <w:rPr>
          <w:lang w:val="en-FR"/>
        </w:rPr>
        <w:t>Transform elements</w:t>
      </w:r>
      <w:r w:rsidRPr="001F2645">
        <w:rPr>
          <w:lang w:val="en-FR"/>
        </w:rPr>
        <w:tab/>
        <w:t>11</w:t>
      </w:r>
      <w:r w:rsidRPr="001F2645">
        <w:rPr>
          <w:lang w:val="en-FR"/>
        </w:rPr>
        <w:tab/>
        <w:t>11</w:t>
      </w:r>
      <w:r w:rsidRPr="001F2645">
        <w:rPr>
          <w:lang w:val="en-FR"/>
        </w:rPr>
        <w:tab/>
        <w:t>0</w:t>
      </w:r>
    </w:p>
    <w:p w14:paraId="56BDE95E" w14:textId="77777777" w:rsidR="00485EE6" w:rsidRPr="0081532D" w:rsidRDefault="00485EE6" w:rsidP="00485EE6">
      <w:pPr>
        <w:rPr>
          <w:lang w:val="en-FR"/>
        </w:rPr>
      </w:pPr>
    </w:p>
    <w:p w14:paraId="12DB6105" w14:textId="77777777" w:rsidR="00485EE6" w:rsidRPr="001F2645" w:rsidRDefault="00485EE6" w:rsidP="00485EE6">
      <w:pPr>
        <w:rPr>
          <w:lang w:val="en-FR"/>
        </w:rPr>
      </w:pPr>
    </w:p>
    <w:p w14:paraId="7FD880DC" w14:textId="671CF064" w:rsidR="00485EE6" w:rsidRDefault="00485EE6" w:rsidP="00485EE6">
      <w:pPr>
        <w:pStyle w:val="Heading1"/>
        <w:numPr>
          <w:ilvl w:val="0"/>
          <w:numId w:val="0"/>
        </w:numPr>
        <w:ind w:left="426"/>
      </w:pPr>
      <w:r>
        <w:t>Appendix C</w:t>
      </w:r>
    </w:p>
    <w:p w14:paraId="165620CF" w14:textId="77777777" w:rsidR="00485EE6" w:rsidRPr="001F2645" w:rsidRDefault="00485EE6" w:rsidP="00485EE6">
      <w:pPr>
        <w:rPr>
          <w:lang w:val="en-FR"/>
        </w:rPr>
      </w:pPr>
      <w:r w:rsidRPr="001F2645">
        <w:rPr>
          <w:lang w:val="en-FR"/>
        </w:rPr>
        <w:t>5.2. FlowJo v11 Backward Compatibility Findings</w:t>
      </w:r>
    </w:p>
    <w:p w14:paraId="013561A1" w14:textId="77777777" w:rsidR="00485EE6" w:rsidRPr="001F2645" w:rsidRDefault="00485EE6" w:rsidP="00485EE6">
      <w:pPr>
        <w:rPr>
          <w:lang w:val="en-FR"/>
        </w:rPr>
      </w:pPr>
      <w:r w:rsidRPr="001F2645">
        <w:rPr>
          <w:lang w:val="en-FR"/>
        </w:rPr>
        <w:t>Two systematic incompatibilities between CyFj11-generated v10 XML and FlowJo v11's import mechanism were identified during validation. Both are documented here before FJ11 count results are presented; in each case, the same exported XML produced correct results in FlowJo v10, confirming that the failures originate in FlowJo v11's v10 reader rather than in CyFj11.</w:t>
      </w:r>
    </w:p>
    <w:p w14:paraId="77EF200F" w14:textId="77777777" w:rsidR="00485EE6" w:rsidRPr="001F2645" w:rsidRDefault="00485EE6" w:rsidP="00485EE6">
      <w:pPr>
        <w:rPr>
          <w:lang w:val="en-FR"/>
        </w:rPr>
      </w:pPr>
    </w:p>
    <w:p w14:paraId="2BADDB59" w14:textId="77777777" w:rsidR="00485EE6" w:rsidRPr="001F2645" w:rsidRDefault="00485EE6" w:rsidP="00485EE6">
      <w:pPr>
        <w:rPr>
          <w:lang w:val="en-FR"/>
        </w:rPr>
      </w:pPr>
      <w:r w:rsidRPr="001F2645">
        <w:rPr>
          <w:lang w:val="en-FR"/>
        </w:rPr>
        <w:t>Boolean gate import failure. Boolean gate definitions (AND, OR, NOT) embedded in v10 XML were not fully preserved on import into FlowJo v11 (tests 11–13). Affected gates required manual reconstruction within FlowJo v11 and are excluded from the FJ11 count comparison; these exclusions are labeled in Supplementary Table S1.</w:t>
      </w:r>
    </w:p>
    <w:p w14:paraId="47C49E34" w14:textId="77777777" w:rsidR="00485EE6" w:rsidRPr="001F2645" w:rsidRDefault="00485EE6" w:rsidP="00485EE6">
      <w:pPr>
        <w:rPr>
          <w:lang w:val="en-FR"/>
        </w:rPr>
      </w:pPr>
    </w:p>
    <w:p w14:paraId="5CF6058F" w14:textId="77777777" w:rsidR="00485EE6" w:rsidRPr="001F2645" w:rsidRDefault="00485EE6" w:rsidP="00485EE6">
      <w:pPr>
        <w:rPr>
          <w:lang w:val="en-FR"/>
        </w:rPr>
      </w:pPr>
      <w:r w:rsidRPr="001F2645">
        <w:rPr>
          <w:lang w:val="en-FR"/>
        </w:rPr>
        <w:t>Arcsinh transformation rendering failure. Arcsinh-transformed gates (tests 08, 11, and 13) were not correctly rendered by FlowJo v11 when loaded from v10 XML, yielding systematically incorrect population boundaries and counts. These are similarly excluded from the FJ11 comparison (Supplementary Table S1).</w:t>
      </w:r>
    </w:p>
    <w:p w14:paraId="65402287" w14:textId="77777777" w:rsidR="00485EE6" w:rsidRPr="001F2645" w:rsidRDefault="00485EE6" w:rsidP="00485EE6">
      <w:pPr>
        <w:rPr>
          <w:lang w:val="en-FR"/>
        </w:rPr>
      </w:pPr>
    </w:p>
    <w:p w14:paraId="68797E3D" w14:textId="77777777" w:rsidR="00485EE6" w:rsidRPr="001F2645" w:rsidRDefault="00485EE6" w:rsidP="00485EE6">
      <w:pPr>
        <w:rPr>
          <w:lang w:val="en-FR"/>
        </w:rPr>
      </w:pPr>
      <w:r w:rsidRPr="001F2645">
        <w:rPr>
          <w:lang w:val="en-FR"/>
        </w:rPr>
        <w:t xml:space="preserve">Import workaround. Direct import of CyFj11-exported v10 workspace files into FlowJo v11 was not always successful. Where import failed, the following procedure resolved most failures: the workspace was first re-saved from within FlowJo v10 (File &gt; Save As), and this re-saved file was then imported into FlowJo v11. Gates were subsequently verified within FlowJo v11 and manually corrected where necessary. Workspaces requiring substantial </w:t>
      </w:r>
      <w:r w:rsidRPr="001F2645">
        <w:rPr>
          <w:lang w:val="en-FR"/>
        </w:rPr>
        <w:lastRenderedPageBreak/>
        <w:t>correction (tests 12 and 13) were saved in native v11 format (testNN.flowjo); workspaces requiring only minor verification were saved as testNN_export.llm.flowjo.</w:t>
      </w:r>
    </w:p>
    <w:p w14:paraId="17ECEB44" w14:textId="77777777" w:rsidR="00485EE6" w:rsidRPr="001F2645" w:rsidRDefault="00485EE6" w:rsidP="00485EE6">
      <w:pPr>
        <w:rPr>
          <w:lang w:val="en-FR"/>
        </w:rPr>
      </w:pPr>
    </w:p>
    <w:p w14:paraId="770A41E7" w14:textId="77777777" w:rsidR="00485EE6" w:rsidRPr="001F2645" w:rsidRDefault="00485EE6" w:rsidP="00485EE6">
      <w:pPr>
        <w:rPr>
          <w:lang w:val="en-FR"/>
        </w:rPr>
      </w:pPr>
      <w:r w:rsidRPr="001F2645">
        <w:rPr>
          <w:lang w:val="en-FR"/>
        </w:rPr>
        <w:t>FJ11 count comparison. FlowJo v11 showed considerably greater variability than FJ10 across the same 20-population comparison. Four populations (20%) were exactly reproduced and eleven (55%) differed by ≤0.3%. Five populations showed discrepancies exceeding 0.3%: test04 singlets (polygon gate, 49 cells, 0.65%), test05 ellipse_cells (ellipsoid gate, 202 cells, 2.77%), test10 SSC_gate (1D rectangle, 27 cells, 0.37%), test12 scatter_ellipse (ellipsoid gate, 87 cells, 0.89%), and test12 PE_hi (1D rectangle, log transform, 1799 cells, 47%). The PE_hi case warrants specific comment: it applies the same logarithmic transform as test07, which showed exact FJ11 agreement, suggesting an interaction between the transform parameterization and the specific workspace context in test12 rather than a general log-transform incompatibility. Manual gate verification and re-saving within FlowJo v11 restored the PE_hi count to the correct value (3831), confirming that the gate definition in the exported XML is correct and that the discrepancy arises at import time within FlowJo v11. The mean absolute percentage difference across the 19 populations excluding PE_hi was 0.29%; including PE_hi, the mean rises substantially and is dominated by this single anomalous case.</w:t>
      </w:r>
    </w:p>
    <w:p w14:paraId="5F8F2F94" w14:textId="77777777" w:rsidR="00485EE6" w:rsidRPr="001F2645" w:rsidRDefault="00485EE6" w:rsidP="00485EE6">
      <w:pPr>
        <w:rPr>
          <w:lang w:val="en-FR"/>
        </w:rPr>
      </w:pPr>
    </w:p>
    <w:p w14:paraId="132139ED" w14:textId="77777777" w:rsidR="00485EE6" w:rsidRPr="001F2645" w:rsidRDefault="00485EE6" w:rsidP="00485EE6">
      <w:pPr>
        <w:rPr>
          <w:lang w:val="en-FR"/>
        </w:rPr>
      </w:pPr>
      <w:r w:rsidRPr="001F2645">
        <w:rPr>
          <w:lang w:val="en-FR"/>
        </w:rPr>
        <w:t>Marker name parsing failure (Test 14). A further FJ11-specific incompatibility was identified in Test 14 (Section 5.4): FlowJo v11 failed to correctly parse the marker name "NK1_1+" when reading the CyFj11-exported v10 XML, causing cascading inaccessibility of all populations dependent on NK1_1+ and NK1_1− as parent gates. The same XML was opened without error in FlowJo v10 (count difference: 1 cell), confirming that the exported file is structurally correct and that the failure is FJ11-specific. Users whose marker panels include non-alphanumeric characters — particularly underscores combined with special characters or numerals in certain positions — should verify marker name resolution in FlowJo v11 after import and rename parameters if necessary. CyFj11 does not modify marker names during export; names are written exactly as they appear in the GatingSet parameter table.</w:t>
      </w:r>
    </w:p>
    <w:p w14:paraId="7CB807EB" w14:textId="77777777" w:rsidR="00485EE6" w:rsidRPr="001F2645" w:rsidRDefault="00485EE6" w:rsidP="00485EE6">
      <w:pPr>
        <w:rPr>
          <w:lang w:val="en-FR"/>
        </w:rPr>
      </w:pPr>
    </w:p>
    <w:p w14:paraId="7E7CA780" w14:textId="57AF969D" w:rsidR="00485EE6" w:rsidRDefault="00485EE6" w:rsidP="00485EE6">
      <w:pPr>
        <w:pStyle w:val="Heading1"/>
        <w:numPr>
          <w:ilvl w:val="0"/>
          <w:numId w:val="0"/>
        </w:numPr>
        <w:ind w:left="426"/>
      </w:pPr>
      <w:r>
        <w:t>Appendix D</w:t>
      </w:r>
    </w:p>
    <w:p w14:paraId="01E67E17" w14:textId="4D7D7905" w:rsidR="00485EE6" w:rsidRPr="00485EE6" w:rsidRDefault="00485EE6" w:rsidP="00485EE6">
      <w:pPr>
        <w:rPr>
          <w:lang w:val="en-US" w:eastAsia="en-US"/>
        </w:rPr>
      </w:pPr>
      <w:r w:rsidRPr="00485EE6">
        <w:rPr>
          <w:lang w:val="en-US" w:eastAsia="en-US"/>
        </w:rPr>
        <w:t>FJ11 backward-compatibility details and workarounds; comparison with CytoML and openCyto; future directions (v11 export, spectral unmixing, CyTOF)</w:t>
      </w:r>
    </w:p>
    <w:p w14:paraId="4636BB65" w14:textId="77777777" w:rsidR="00485EE6" w:rsidRDefault="00485EE6" w:rsidP="00485EE6">
      <w:pPr>
        <w:rPr>
          <w:lang w:val="en-FR" w:eastAsia="en-US"/>
        </w:rPr>
      </w:pPr>
    </w:p>
    <w:p w14:paraId="6ADF3E29" w14:textId="77777777" w:rsidR="00485EE6" w:rsidRPr="00F76551" w:rsidRDefault="00485EE6" w:rsidP="00485EE6">
      <w:pPr>
        <w:rPr>
          <w:lang w:val="en-US" w:eastAsia="en-US"/>
        </w:rPr>
      </w:pPr>
      <w:r w:rsidRPr="00F76551">
        <w:rPr>
          <w:lang w:val="en-US" w:eastAsia="en-US"/>
        </w:rPr>
        <w:t>CyFj11 targets researchers who use FlowJo v11 as their primary gating environment and require downstream analysis in R — or who need to export R-derived gating results back to FlowJo for visual inspection or collaborative review. The package is particularly suited to high-throughput quality checking of manually gated high-dimensional flow cytometry files, enabling rapid simultaneous visualization of a given population across many samples.</w:t>
      </w:r>
    </w:p>
    <w:p w14:paraId="11609BD1" w14:textId="77777777" w:rsidR="00485EE6" w:rsidRPr="00F76551" w:rsidRDefault="00485EE6" w:rsidP="00485EE6">
      <w:pPr>
        <w:rPr>
          <w:lang w:val="en-US" w:eastAsia="en-US"/>
        </w:rPr>
      </w:pPr>
    </w:p>
    <w:p w14:paraId="42464A36" w14:textId="77777777" w:rsidR="00485EE6" w:rsidRPr="00F76551" w:rsidRDefault="00485EE6" w:rsidP="00485EE6">
      <w:pPr>
        <w:rPr>
          <w:lang w:val="en-US" w:eastAsia="en-US"/>
        </w:rPr>
      </w:pPr>
      <w:r w:rsidRPr="00F76551">
        <w:rPr>
          <w:lang w:val="en-US" w:eastAsia="en-US"/>
        </w:rPr>
        <w:t>A secondary use case serves researchers who cannot deploy CytoML for v10 workspace import due to platform constraints — most commonly on macOS with Apple Silicon (ARM), where CytoML's Docker-based C++ components are unmaintained. The typical workflow is: gate cells in FlowJo v11, import the workspace into R via fj11_to_gatingset(), apply statistical analysis or batch processing, and optionally return results to FlowJo using export_flowjo10_workspace().</w:t>
      </w:r>
    </w:p>
    <w:p w14:paraId="1D99D6AE" w14:textId="77777777" w:rsidR="00485EE6" w:rsidRPr="00F76551" w:rsidRDefault="00485EE6" w:rsidP="00485EE6">
      <w:pPr>
        <w:rPr>
          <w:lang w:val="en-US" w:eastAsia="en-US"/>
        </w:rPr>
      </w:pPr>
    </w:p>
    <w:p w14:paraId="31CD9B9E" w14:textId="77777777" w:rsidR="00485EE6" w:rsidRPr="00F76551" w:rsidRDefault="00485EE6" w:rsidP="00485EE6">
      <w:pPr>
        <w:rPr>
          <w:lang w:val="en-US" w:eastAsia="en-US"/>
        </w:rPr>
      </w:pPr>
      <w:r w:rsidRPr="00F76551">
        <w:rPr>
          <w:lang w:val="en-US" w:eastAsia="en-US"/>
        </w:rPr>
        <w:t xml:space="preserve">CyFj11 is not designed to replace FlowJo as a gating environment, nor to supplant CytoML for users whose pipelines are already built on v10 workspaces under standard platforms. Instead, it fills the specific gap created by FlowJo's format change: the inability to read v11 </w:t>
      </w:r>
      <w:r w:rsidRPr="00F76551">
        <w:rPr>
          <w:lang w:val="en-US" w:eastAsia="en-US"/>
        </w:rPr>
        <w:lastRenderedPageBreak/>
        <w:t>workspaces in R and the absence of a maintained, platform-independent v10 export path. For v10 import, CyFj11 currently relies on CytoML's FlowJo reader (CytoML::flowjo_to_gatingset()); any limitations of that reader — such as partial support for certain gate types or transformations — propagate equally to the round-trip comparison workflow.</w:t>
      </w:r>
    </w:p>
    <w:p w14:paraId="37D7BE09" w14:textId="77777777" w:rsidR="00485EE6" w:rsidRPr="00F76551" w:rsidRDefault="00485EE6" w:rsidP="00485EE6">
      <w:pPr>
        <w:rPr>
          <w:lang w:val="en-US" w:eastAsia="en-US"/>
        </w:rPr>
      </w:pPr>
    </w:p>
    <w:p w14:paraId="6AA23D9A" w14:textId="77777777" w:rsidR="00485EE6" w:rsidRPr="00F76551" w:rsidRDefault="00485EE6" w:rsidP="00485EE6">
      <w:pPr>
        <w:rPr>
          <w:lang w:val="en-US" w:eastAsia="en-US"/>
        </w:rPr>
      </w:pPr>
      <w:r w:rsidRPr="00F76551">
        <w:rPr>
          <w:lang w:val="en-US" w:eastAsia="en-US"/>
        </w:rPr>
        <w:t>Several limitations should be noted.</w:t>
      </w:r>
    </w:p>
    <w:p w14:paraId="6D223115" w14:textId="77777777" w:rsidR="00485EE6" w:rsidRPr="00F76551" w:rsidRDefault="00485EE6" w:rsidP="00485EE6">
      <w:pPr>
        <w:rPr>
          <w:lang w:val="en-US" w:eastAsia="en-US"/>
        </w:rPr>
      </w:pPr>
    </w:p>
    <w:p w14:paraId="53C1E14C" w14:textId="77777777" w:rsidR="00485EE6" w:rsidRPr="00F76551" w:rsidRDefault="00485EE6" w:rsidP="00485EE6">
      <w:pPr>
        <w:rPr>
          <w:lang w:val="en-US" w:eastAsia="en-US"/>
        </w:rPr>
      </w:pPr>
      <w:r w:rsidRPr="00F76551">
        <w:rPr>
          <w:lang w:val="en-US" w:eastAsia="en-US"/>
        </w:rPr>
        <w:t>First, quadrant gates are not exported to v10 format. The FlowJo v10 XML schema provides no direct representation for this gate type; users who rely on quadrant gates will need to reconstruct them manually in FlowJo after export.</w:t>
      </w:r>
    </w:p>
    <w:p w14:paraId="4FED0563" w14:textId="77777777" w:rsidR="00485EE6" w:rsidRPr="00F76551" w:rsidRDefault="00485EE6" w:rsidP="00485EE6">
      <w:pPr>
        <w:rPr>
          <w:lang w:val="en-US" w:eastAsia="en-US"/>
        </w:rPr>
      </w:pPr>
    </w:p>
    <w:p w14:paraId="52F48C91" w14:textId="77777777" w:rsidR="00485EE6" w:rsidRPr="00F76551" w:rsidRDefault="00485EE6" w:rsidP="00485EE6">
      <w:pPr>
        <w:rPr>
          <w:lang w:val="en-US" w:eastAsia="en-US"/>
        </w:rPr>
      </w:pPr>
      <w:r w:rsidRPr="00F76551">
        <w:rPr>
          <w:lang w:val="en-US" w:eastAsia="en-US"/>
        </w:rPr>
        <w:t>Second, per-sample gate variations (tailored gates) cannot be represented in v10 format, and export therefore falls back to the group-level gate. Because fj11_to_gatingset() returns a list of per-sample GatingSet objects rather than a single merged object, users can inspect and work with per-sample gates in R before committing to a merge strategy. Nevertheless, conversion to a single GatingSet via flowWorkspace::merge_list_to_gs() necessarily discards sample-specific variation. Extending flowCore to natively support per-sample gate representations would be a valuable future development.</w:t>
      </w:r>
    </w:p>
    <w:p w14:paraId="0AC17C35" w14:textId="77777777" w:rsidR="00485EE6" w:rsidRPr="00F76551" w:rsidRDefault="00485EE6" w:rsidP="00485EE6">
      <w:pPr>
        <w:rPr>
          <w:lang w:val="en-US" w:eastAsia="en-US"/>
        </w:rPr>
      </w:pPr>
    </w:p>
    <w:p w14:paraId="3BC6B573" w14:textId="77777777" w:rsidR="00485EE6" w:rsidRPr="00F76551" w:rsidRDefault="00485EE6" w:rsidP="00485EE6">
      <w:pPr>
        <w:rPr>
          <w:lang w:val="en-US" w:eastAsia="en-US"/>
        </w:rPr>
      </w:pPr>
      <w:r w:rsidRPr="00F76551">
        <w:rPr>
          <w:lang w:val="en-US" w:eastAsia="en-US"/>
        </w:rPr>
        <w:t>Third, FlowJo v11 exhibits limited backward compatibility with the v10 XML format generated by CyFj11. The validation suite revealed four distinct FJ11 import failures: (i) boolean gate definitions are silently discarded on import into FlowJo v11, requiring manual reconstruction in every test scenario in which they were present; (ii) arcsinh-transformed gates are rendered with incorrect boundaries, producing systematically wrong population counts; (iii) one log-transformed gate (test12 PE_hi) was severely misinterpreted on direct import, yielding a 47% count discrepancy that was fully resolved only after manual revision within FlowJo v11 — confirmed to be an FJ11-side parsing failure rather than general coordinate drift, by exact reproduction in FlowJo v10 and by correct counts following manual correction; and (iv) FlowJo v11 failed to correctly parse the marker name "NK1_1+" when loading a CyFj11-exported v10 workspace (test14), rendering all downstream populations inaccessible — a failure not reproducible in FlowJo v10, establishing that the exported XML is structurally correct and the incompatibility is FJ11-specific. In all four cases, the v10 XML produced by CyFj11 was verified as correct by FlowJo v10, confirming that each failure originates in FlowJo v11's v10 reader, not in CyFj11. Critically, none of these incompatibilities are unique to CyFj11; they would affect any tool generating v10-format workspaces intended for import into FlowJo v11. Users should therefore expect to verify and manually reconstruct boolean gates after import, treat arcsinh-encoded gates with caution, and confirm marker name resolution — particularly for names that include non-alphanumeric characters — following import. CyFj11 does not alter marker names during export; they are written exactly as they appear in the GatingSet parameter table. For gates on standard biexponential, logicle, or linear axes, FJ11 import is generally reliable, with a re-save workaround resolving most residual discrepancies.</w:t>
      </w:r>
    </w:p>
    <w:p w14:paraId="512BDF75" w14:textId="77777777" w:rsidR="00485EE6" w:rsidRPr="00F76551" w:rsidRDefault="00485EE6" w:rsidP="00485EE6">
      <w:pPr>
        <w:rPr>
          <w:lang w:val="en-US" w:eastAsia="en-US"/>
        </w:rPr>
      </w:pPr>
    </w:p>
    <w:p w14:paraId="1B286DD0" w14:textId="77777777" w:rsidR="00485EE6" w:rsidRPr="00F76551" w:rsidRDefault="00485EE6" w:rsidP="00485EE6">
      <w:pPr>
        <w:rPr>
          <w:lang w:val="en-US" w:eastAsia="en-US"/>
        </w:rPr>
      </w:pPr>
      <w:r w:rsidRPr="00F76551">
        <w:rPr>
          <w:lang w:val="en-US" w:eastAsia="en-US"/>
        </w:rPr>
        <w:t>Fourth, compensation matrix export has not yet been validated against an independent reference standard; users should verify compensation settings in FlowJo after import.</w:t>
      </w:r>
    </w:p>
    <w:p w14:paraId="79098406" w14:textId="77777777" w:rsidR="00485EE6" w:rsidRPr="00F76551" w:rsidRDefault="00485EE6" w:rsidP="00485EE6">
      <w:pPr>
        <w:rPr>
          <w:lang w:val="en-US" w:eastAsia="en-US"/>
        </w:rPr>
      </w:pPr>
    </w:p>
    <w:p w14:paraId="7D1AD49C" w14:textId="77777777" w:rsidR="00485EE6" w:rsidRPr="00F76551" w:rsidRDefault="00485EE6" w:rsidP="00485EE6">
      <w:pPr>
        <w:rPr>
          <w:lang w:val="en-US" w:eastAsia="en-US"/>
        </w:rPr>
      </w:pPr>
      <w:r w:rsidRPr="00F76551">
        <w:rPr>
          <w:lang w:val="en-US" w:eastAsia="en-US"/>
        </w:rPr>
        <w:t>Fifth, the validation suite comprises 13 primary test scenarios and one supplementary test (test14), each constructed to probe specific gate types, transformation encodings, and known edge cases. Although this coverage is broad, it is necessarily synthetic: real-world workspaces may combine features or encounter configurations not represented in the test suite, and results should be interpreted with that scope in mind.</w:t>
      </w:r>
    </w:p>
    <w:p w14:paraId="095B5D3C" w14:textId="77777777" w:rsidR="00485EE6" w:rsidRPr="00F76551" w:rsidRDefault="00485EE6" w:rsidP="00485EE6">
      <w:pPr>
        <w:rPr>
          <w:lang w:val="en-US" w:eastAsia="en-US"/>
        </w:rPr>
      </w:pPr>
    </w:p>
    <w:p w14:paraId="11148451" w14:textId="77777777" w:rsidR="00485EE6" w:rsidRPr="00F76551" w:rsidRDefault="00485EE6" w:rsidP="00485EE6">
      <w:pPr>
        <w:rPr>
          <w:lang w:val="en-US" w:eastAsia="en-US"/>
        </w:rPr>
      </w:pPr>
      <w:r w:rsidRPr="00F76551">
        <w:rPr>
          <w:lang w:val="en-US" w:eastAsia="en-US"/>
        </w:rPr>
        <w:t xml:space="preserve">CytoML </w:t>
      </w:r>
      <w:r>
        <w:fldChar w:fldCharType="begin"/>
      </w:r>
      <w:r>
        <w:rPr>
          <w:lang w:val="en-US"/>
        </w:rPr>
        <w:instrText xml:space="preserve"> ADDIN ZOTERO_ITEM CSL_CITATION {"citationID":"ddpVr7hz","properties":{"unsorted":false,"formattedCitation":"(8)","plainCitation":"(8)","noteIndex":0},"citationItems":[{"id":19659,"uris":["http://zotero.org/groups/2522180/items/LYWKBKYT"],"itemData":{"id":19659,"type":"article-journal","abstract":"Abstract\n            \n              CytoML\n              is an R/Bioconductor package that enables cross</w:instrText>
      </w:r>
      <w:r>
        <w:rPr>
          <w:rFonts w:ascii="Cambria Math" w:hAnsi="Cambria Math" w:cs="Cambria Math"/>
          <w:lang w:val="en-US"/>
        </w:rPr>
        <w:instrText>‐</w:instrText>
      </w:r>
      <w:r>
        <w:rPr>
          <w:lang w:val="en-US"/>
        </w:rPr>
        <w:instrText>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how\n              CytoML\n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how\n              CytoML\n              can be used to import gated data from a publicly accessible mass cytometry experiment from Cytobank.\n              CytoML\n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A","DOI":"10.1002/cyto.a.23663","ISSN":"1552-4922, 1552-4930","issue":"12","journalAbbreviation":"Cytometry Pt A","language":"en","page":"1189-1196","source":"DOI.org (Crossref)","title":"&lt;i&gt;CytoML&lt;/i&gt; for cross</w:instrText>
      </w:r>
      <w:r>
        <w:rPr>
          <w:rFonts w:ascii="Cambria Math" w:hAnsi="Cambria Math" w:cs="Cambria Math"/>
          <w:lang w:val="en-US"/>
        </w:rPr>
        <w:instrText>‐</w:instrText>
      </w:r>
      <w:r>
        <w:rPr>
          <w:lang w:val="en-US"/>
        </w:rPr>
        <w:instrText xml:space="preserve">platform cytometry data sharing","volume":"93","author":[{"family":"Finak","given":"Greg"},{"family":"Jiang","given":"Wenxin"},{"family":"Gottardo","given":"Raphael"}],"issued":{"date-parts":[["2018",12]]}}}],"schema":"https://github.com/citation-style-language/schema/raw/master/csl-citation.json"} </w:instrText>
      </w:r>
      <w:r>
        <w:fldChar w:fldCharType="separate"/>
      </w:r>
      <w:r>
        <w:rPr>
          <w:noProof/>
          <w:lang w:val="en-US"/>
        </w:rPr>
        <w:t>(8)</w:t>
      </w:r>
      <w:r>
        <w:fldChar w:fldCharType="end"/>
      </w:r>
      <w:r w:rsidRPr="00F76551">
        <w:rPr>
          <w:lang w:val="en-US" w:eastAsia="en-US"/>
        </w:rPr>
        <w:t xml:space="preserve"> supports FlowJo v10 import via XML parsing and v10 export via compiled C++ components distributed as Docker containers. CyFj11 is complementary: it adds v11 import capability (unavailable in CytoML) and provides a native-R v10 export path that requires no container infrastructure. For users on standard hardware with v10 workspaces, CytoML remains a viable and well-established option; CyFj11's v10 export offers an alternative for users who encounter difficulties with the CytoML Docker container on current operating systems.</w:t>
      </w:r>
    </w:p>
    <w:p w14:paraId="5B24CFC5" w14:textId="77777777" w:rsidR="00485EE6" w:rsidRPr="00F76551" w:rsidRDefault="00485EE6" w:rsidP="00485EE6">
      <w:pPr>
        <w:rPr>
          <w:lang w:val="en-US" w:eastAsia="en-US"/>
        </w:rPr>
      </w:pPr>
    </w:p>
    <w:p w14:paraId="2E43A92F" w14:textId="77777777" w:rsidR="00485EE6" w:rsidRPr="00F76551" w:rsidRDefault="00485EE6" w:rsidP="00485EE6">
      <w:pPr>
        <w:rPr>
          <w:lang w:val="en-US" w:eastAsia="en-US"/>
        </w:rPr>
      </w:pPr>
      <w:r w:rsidRPr="00F76551">
        <w:rPr>
          <w:lang w:val="en-US" w:eastAsia="en-US"/>
        </w:rPr>
        <w:t xml:space="preserve">openCyto </w:t>
      </w:r>
      <w:r w:rsidRPr="00B91921">
        <w:fldChar w:fldCharType="begin"/>
      </w:r>
      <w:r>
        <w:rPr>
          <w:lang w:val="en-US"/>
        </w:rPr>
        <w:instrText xml:space="preserve"> ADDIN ZOTERO_ITEM CSL_CITATION {"citationID":"Ct7XHpcD","properties":{"unsorted":false,"formattedCitation":"(6)","plainCitation":"(6)","noteIndex":0},"citationItems":[{"id":19657,"uris":["http://zotero.org/groups/2522180/items/D7WSMW6C"],"itemData":{"id":19657,"type":"article-journal","container-title":"PLoS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Pr="00B91921">
        <w:fldChar w:fldCharType="separate"/>
      </w:r>
      <w:r>
        <w:rPr>
          <w:noProof/>
          <w:lang w:val="en-US"/>
        </w:rPr>
        <w:t>(6)</w:t>
      </w:r>
      <w:r w:rsidRPr="00B91921">
        <w:fldChar w:fldCharType="end"/>
      </w:r>
      <w:r w:rsidRPr="00F76551">
        <w:rPr>
          <w:lang w:val="en-US" w:eastAsia="en-US"/>
        </w:rPr>
        <w:t xml:space="preserve"> provides automated gating algorithms that operate on GatingSet objects; CyFj11 is fully compatible with openCyto workflows, so a FlowJo v11 workspace can serve as a starting point for automated gating refinement.</w:t>
      </w:r>
    </w:p>
    <w:p w14:paraId="74BE4A23" w14:textId="77777777" w:rsidR="00485EE6" w:rsidRPr="00F76551" w:rsidRDefault="00485EE6" w:rsidP="00485EE6">
      <w:pPr>
        <w:rPr>
          <w:lang w:val="en-US" w:eastAsia="en-US"/>
        </w:rPr>
      </w:pPr>
    </w:p>
    <w:p w14:paraId="432F074B" w14:textId="77777777" w:rsidR="00485EE6" w:rsidRPr="00F76551" w:rsidRDefault="00485EE6" w:rsidP="00485EE6">
      <w:pPr>
        <w:rPr>
          <w:lang w:val="en-US" w:eastAsia="en-US"/>
        </w:rPr>
      </w:pPr>
      <w:r w:rsidRPr="00F76551">
        <w:rPr>
          <w:lang w:val="en-US" w:eastAsia="en-US"/>
        </w:rPr>
        <w:t>Full v11 export would require either vendor documentation of the FlowJo v11 JSON schema or a substantially larger reverse-engineering effort than was undertaken here. If BD Biosciences were to provide official schema documentation, implementing a v11 exporter from GatingSet objects would be a natural extension of CyFj11. Until then, the v10 export pathway remains the practical route for returning R-based analyses to FlowJo.</w:t>
      </w:r>
    </w:p>
    <w:p w14:paraId="7E379558" w14:textId="77777777" w:rsidR="00485EE6" w:rsidRPr="00F76551" w:rsidRDefault="00485EE6" w:rsidP="00485EE6">
      <w:pPr>
        <w:rPr>
          <w:lang w:val="en-US" w:eastAsia="en-US"/>
        </w:rPr>
      </w:pPr>
    </w:p>
    <w:p w14:paraId="35694DA7" w14:textId="77777777" w:rsidR="00485EE6" w:rsidRPr="00F76551" w:rsidRDefault="00485EE6" w:rsidP="00485EE6">
      <w:pPr>
        <w:rPr>
          <w:lang w:val="en-US" w:eastAsia="en-US"/>
        </w:rPr>
      </w:pPr>
      <w:r w:rsidRPr="00F76551">
        <w:rPr>
          <w:lang w:val="en-US" w:eastAsia="en-US"/>
        </w:rPr>
        <w:t>Integration with spectral unmixing workflows, mass cytometry (CyTOF) data, and emerging modalities such as imaging mass cytometry represent natural future directions as these data types increasingly flow through FlowJo v11.</w:t>
      </w:r>
    </w:p>
    <w:p w14:paraId="23D4BCBD" w14:textId="77777777" w:rsidR="00485EE6" w:rsidRPr="00F76551" w:rsidRDefault="00485EE6" w:rsidP="00485EE6">
      <w:pPr>
        <w:rPr>
          <w:lang w:val="en-US" w:eastAsia="en-US"/>
        </w:rPr>
      </w:pPr>
    </w:p>
    <w:p w14:paraId="33595390" w14:textId="77777777" w:rsidR="00485EE6" w:rsidRDefault="00485EE6" w:rsidP="00485EE6">
      <w:pPr>
        <w:rPr>
          <w:lang w:val="en-US" w:eastAsia="en-US"/>
        </w:rPr>
      </w:pPr>
      <w:r w:rsidRPr="00F76551">
        <w:rPr>
          <w:lang w:val="en-US" w:eastAsia="en-US"/>
        </w:rPr>
        <w:t>The package is maintained as open-source software.</w:t>
      </w:r>
    </w:p>
    <w:p w14:paraId="2A202D8E" w14:textId="77777777" w:rsidR="00485EE6" w:rsidRPr="00485EE6" w:rsidRDefault="00485EE6" w:rsidP="00485EE6">
      <w:pPr>
        <w:rPr>
          <w:lang w:val="en-US" w:eastAsia="en-US"/>
        </w:rPr>
      </w:pPr>
    </w:p>
    <w:p w14:paraId="6A760C5A" w14:textId="0386C74C" w:rsidR="00485EE6" w:rsidRPr="00485EE6" w:rsidRDefault="00485EE6" w:rsidP="00485EE6">
      <w:pPr>
        <w:pStyle w:val="Heading1"/>
        <w:numPr>
          <w:ilvl w:val="0"/>
          <w:numId w:val="0"/>
        </w:numPr>
        <w:ind w:left="426"/>
        <w:rPr>
          <w:lang w:val="en-US"/>
        </w:rPr>
      </w:pPr>
      <w:r w:rsidRPr="00485EE6">
        <w:rPr>
          <w:lang w:val="en-US"/>
        </w:rPr>
        <w:t>Appendix E</w:t>
      </w:r>
    </w:p>
    <w:p w14:paraId="729721BA" w14:textId="1DEC3447" w:rsidR="00485EE6" w:rsidRDefault="00485EE6" w:rsidP="00485EE6">
      <w:pPr>
        <w:rPr>
          <w:lang w:val="en-FR" w:eastAsia="en-US"/>
        </w:rPr>
      </w:pPr>
      <w:r w:rsidRPr="00485EE6">
        <w:rPr>
          <w:lang w:val="en-FR" w:eastAsia="en-US"/>
        </w:rPr>
        <w:t>Function reference; worked examples; known platform-specific notes</w:t>
      </w:r>
    </w:p>
    <w:p w14:paraId="32E76357" w14:textId="77777777" w:rsidR="00485EE6" w:rsidRDefault="00485EE6" w:rsidP="00485EE6">
      <w:pPr>
        <w:rPr>
          <w:lang w:val="en-FR" w:eastAsia="en-US"/>
        </w:rPr>
      </w:pPr>
    </w:p>
    <w:p w14:paraId="269F1686" w14:textId="77777777" w:rsidR="008D041B" w:rsidRPr="00977AB2" w:rsidRDefault="0099442C">
      <w:pPr>
        <w:rPr>
          <w:lang w:val="en-US"/>
        </w:rPr>
      </w:pPr>
      <w:r w:rsidRPr="00977AB2">
        <w:rPr>
          <w:i/>
          <w:iCs/>
          <w:lang w:val="en-US"/>
        </w:rPr>
        <w:t>This annex contains information for readers interested in the technical architecture of CyFj11. It is not required for understanding the package’s capabilities or workflow.</w:t>
      </w:r>
    </w:p>
    <w:p w14:paraId="402FE51A" w14:textId="1341D1B0" w:rsidR="008D041B" w:rsidRDefault="00485EE6" w:rsidP="00485EE6">
      <w:pPr>
        <w:pStyle w:val="Heading2"/>
        <w:numPr>
          <w:ilvl w:val="0"/>
          <w:numId w:val="0"/>
        </w:numPr>
        <w:ind w:left="709"/>
      </w:pPr>
      <w:bookmarkStart w:id="13" w:name="a.1-flowjo-workspace-format-comparison"/>
      <w:r>
        <w:t>E</w:t>
      </w:r>
      <w:r w:rsidR="0099442C">
        <w:t>.1 FlowJo workspace format comparison</w:t>
      </w:r>
    </w:p>
    <w:p w14:paraId="0874E8CC" w14:textId="77777777" w:rsidR="008D041B" w:rsidRPr="00977AB2" w:rsidRDefault="0099442C">
      <w:pPr>
        <w:rPr>
          <w:lang w:val="en-US"/>
        </w:rPr>
      </w:pPr>
      <w:r w:rsidRPr="00977AB2">
        <w:rPr>
          <w:b/>
          <w:bCs/>
          <w:lang w:val="en-US"/>
        </w:rPr>
        <w:t>FlowJo v10 (.wsp)</w:t>
      </w:r>
      <w:r w:rsidRPr="00977AB2">
        <w:rPr>
          <w:lang w:val="en-US"/>
        </w:rPr>
        <w:t xml:space="preserve"> is a single XML file following the ISAC Gating-ML 2.0 standard. The hierarchical structure contains &lt;Workspace&gt;, &lt;SampleList&gt;, &lt;Groups&gt;, and &lt;Population&gt; elements. Gates are expressed as Gating-ML elements (&lt;gating:RectangleGate&gt;, &lt;gating:PolygonGate&gt;, etc.) with coordinate transformations specified in dedicated elements. The format is human-readable, well-documented, and validated by the community.</w:t>
      </w:r>
    </w:p>
    <w:p w14:paraId="08137F21" w14:textId="77777777" w:rsidR="008D041B" w:rsidRPr="00977AB2" w:rsidRDefault="0099442C">
      <w:pPr>
        <w:rPr>
          <w:lang w:val="en-US"/>
        </w:rPr>
      </w:pPr>
      <w:r w:rsidRPr="00977AB2">
        <w:rPr>
          <w:b/>
          <w:bCs/>
          <w:lang w:val="en-US"/>
        </w:rPr>
        <w:t>FlowJo v11 (.flowjo)</w:t>
      </w:r>
      <w:r w:rsidRPr="00977AB2">
        <w:rPr>
          <w:lang w:val="en-US"/>
        </w:rPr>
        <w:t xml:space="preserve"> is a ZIP archive containing JSON files (analysis-*.json, manifest.txt). The JSON schema uses UUID-based cross-referencing: populationDefinitions (gate geometry), populations (sample-specific instances with statistics), dataSources (FCS file references), and groups (sample collections) are separate entities linked by UUIDs. Transformations are embedded within axis definitions rather than stored separately. The format is proprietary and not publicly documented.</w:t>
      </w:r>
    </w:p>
    <w:p w14:paraId="6F00BE1F" w14:textId="77777777" w:rsidR="008D041B" w:rsidRPr="00977AB2" w:rsidRDefault="0099442C">
      <w:pPr>
        <w:rPr>
          <w:lang w:val="en-US"/>
        </w:rPr>
      </w:pPr>
      <w:r w:rsidRPr="00977AB2">
        <w:rPr>
          <w:lang w:val="en-US"/>
        </w:rPr>
        <w:t>Key structural differences that constrain the design of CyFj11:</w:t>
      </w:r>
    </w:p>
    <w:tbl>
      <w:tblPr>
        <w:tblW w:w="5000" w:type="pct"/>
        <w:tblLayout w:type="fixed"/>
        <w:tblLook w:val="0020" w:firstRow="1" w:lastRow="0" w:firstColumn="0" w:lastColumn="0" w:noHBand="0" w:noVBand="0"/>
      </w:tblPr>
      <w:tblGrid>
        <w:gridCol w:w="3024"/>
        <w:gridCol w:w="3024"/>
        <w:gridCol w:w="3024"/>
      </w:tblGrid>
      <w:tr w:rsidR="008D041B" w14:paraId="704BBFEE" w14:textId="77777777">
        <w:trPr>
          <w:tblHeader/>
        </w:trPr>
        <w:tc>
          <w:tcPr>
            <w:tcW w:w="2640" w:type="dxa"/>
          </w:tcPr>
          <w:p w14:paraId="0A8AA0C1" w14:textId="77777777" w:rsidR="008D041B" w:rsidRDefault="0099442C">
            <w:r>
              <w:t>Aspect</w:t>
            </w:r>
          </w:p>
        </w:tc>
        <w:tc>
          <w:tcPr>
            <w:tcW w:w="2640" w:type="dxa"/>
          </w:tcPr>
          <w:p w14:paraId="0345B866" w14:textId="77777777" w:rsidR="008D041B" w:rsidRDefault="0099442C">
            <w:r>
              <w:t>v10 (XML)</w:t>
            </w:r>
          </w:p>
        </w:tc>
        <w:tc>
          <w:tcPr>
            <w:tcW w:w="2640" w:type="dxa"/>
          </w:tcPr>
          <w:p w14:paraId="24BFE1F2" w14:textId="77777777" w:rsidR="008D041B" w:rsidRDefault="0099442C">
            <w:r>
              <w:t>v11 (JSON)</w:t>
            </w:r>
          </w:p>
        </w:tc>
      </w:tr>
      <w:tr w:rsidR="008D041B" w:rsidRPr="00DC234C" w14:paraId="41C2F74E" w14:textId="77777777">
        <w:tc>
          <w:tcPr>
            <w:tcW w:w="2640" w:type="dxa"/>
          </w:tcPr>
          <w:p w14:paraId="250EF517" w14:textId="77777777" w:rsidR="008D041B" w:rsidRDefault="0099442C">
            <w:r>
              <w:t>Format</w:t>
            </w:r>
          </w:p>
        </w:tc>
        <w:tc>
          <w:tcPr>
            <w:tcW w:w="2640" w:type="dxa"/>
          </w:tcPr>
          <w:p w14:paraId="49DD2EEC" w14:textId="77777777" w:rsidR="008D041B" w:rsidRDefault="0099442C">
            <w:r>
              <w:t>Single XML file</w:t>
            </w:r>
          </w:p>
        </w:tc>
        <w:tc>
          <w:tcPr>
            <w:tcW w:w="2640" w:type="dxa"/>
          </w:tcPr>
          <w:p w14:paraId="455DFD15" w14:textId="77777777" w:rsidR="008D041B" w:rsidRPr="00977AB2" w:rsidRDefault="0099442C">
            <w:pPr>
              <w:rPr>
                <w:lang w:val="en-US"/>
              </w:rPr>
            </w:pPr>
            <w:r w:rsidRPr="00977AB2">
              <w:rPr>
                <w:lang w:val="en-US"/>
              </w:rPr>
              <w:t>ZIP with multiple JSON files</w:t>
            </w:r>
          </w:p>
        </w:tc>
      </w:tr>
      <w:tr w:rsidR="008D041B" w14:paraId="6765D3AC" w14:textId="77777777">
        <w:tc>
          <w:tcPr>
            <w:tcW w:w="2640" w:type="dxa"/>
          </w:tcPr>
          <w:p w14:paraId="6F963BA8" w14:textId="77777777" w:rsidR="008D041B" w:rsidRDefault="0099442C">
            <w:r>
              <w:t>Standard</w:t>
            </w:r>
          </w:p>
        </w:tc>
        <w:tc>
          <w:tcPr>
            <w:tcW w:w="2640" w:type="dxa"/>
          </w:tcPr>
          <w:p w14:paraId="717B9171" w14:textId="77777777" w:rsidR="008D041B" w:rsidRDefault="0099442C">
            <w:r>
              <w:t>Gating-ML 2.0 (published)</w:t>
            </w:r>
          </w:p>
        </w:tc>
        <w:tc>
          <w:tcPr>
            <w:tcW w:w="2640" w:type="dxa"/>
          </w:tcPr>
          <w:p w14:paraId="2C878E2B" w14:textId="77777777" w:rsidR="008D041B" w:rsidRDefault="0099442C">
            <w:r>
              <w:t>Proprietary (undocumented)</w:t>
            </w:r>
          </w:p>
        </w:tc>
      </w:tr>
      <w:tr w:rsidR="008D041B" w14:paraId="3E5D0E24" w14:textId="77777777">
        <w:tc>
          <w:tcPr>
            <w:tcW w:w="2640" w:type="dxa"/>
          </w:tcPr>
          <w:p w14:paraId="48765556" w14:textId="77777777" w:rsidR="008D041B" w:rsidRDefault="0099442C">
            <w:r>
              <w:t>Gate representation</w:t>
            </w:r>
          </w:p>
        </w:tc>
        <w:tc>
          <w:tcPr>
            <w:tcW w:w="2640" w:type="dxa"/>
          </w:tcPr>
          <w:p w14:paraId="7EB494A3" w14:textId="77777777" w:rsidR="008D041B" w:rsidRDefault="0099442C">
            <w:r>
              <w:t>Nested XML elements</w:t>
            </w:r>
          </w:p>
        </w:tc>
        <w:tc>
          <w:tcPr>
            <w:tcW w:w="2640" w:type="dxa"/>
          </w:tcPr>
          <w:p w14:paraId="70B72D98" w14:textId="77777777" w:rsidR="008D041B" w:rsidRDefault="0099442C">
            <w:r>
              <w:t>UUID-linked JSON objects</w:t>
            </w:r>
          </w:p>
        </w:tc>
      </w:tr>
      <w:tr w:rsidR="008D041B" w14:paraId="17E6450A" w14:textId="77777777">
        <w:tc>
          <w:tcPr>
            <w:tcW w:w="2640" w:type="dxa"/>
          </w:tcPr>
          <w:p w14:paraId="12F4408A" w14:textId="77777777" w:rsidR="008D041B" w:rsidRDefault="0099442C">
            <w:r>
              <w:t>Transformation storage</w:t>
            </w:r>
          </w:p>
        </w:tc>
        <w:tc>
          <w:tcPr>
            <w:tcW w:w="2640" w:type="dxa"/>
          </w:tcPr>
          <w:p w14:paraId="3F5CB038" w14:textId="77777777" w:rsidR="008D041B" w:rsidRDefault="0099442C">
            <w:r>
              <w:t>Separate elements</w:t>
            </w:r>
          </w:p>
        </w:tc>
        <w:tc>
          <w:tcPr>
            <w:tcW w:w="2640" w:type="dxa"/>
          </w:tcPr>
          <w:p w14:paraId="61E13620" w14:textId="77777777" w:rsidR="008D041B" w:rsidRDefault="0099442C">
            <w:r>
              <w:t>Embedded in axis definitions</w:t>
            </w:r>
          </w:p>
        </w:tc>
      </w:tr>
      <w:tr w:rsidR="008D041B" w14:paraId="2607EE9A" w14:textId="77777777">
        <w:tc>
          <w:tcPr>
            <w:tcW w:w="2640" w:type="dxa"/>
          </w:tcPr>
          <w:p w14:paraId="77F35B2F" w14:textId="77777777" w:rsidR="008D041B" w:rsidRDefault="0099442C">
            <w:r>
              <w:t>Per-sample variation</w:t>
            </w:r>
          </w:p>
        </w:tc>
        <w:tc>
          <w:tcPr>
            <w:tcW w:w="2640" w:type="dxa"/>
          </w:tcPr>
          <w:p w14:paraId="4DFE1003" w14:textId="77777777" w:rsidR="008D041B" w:rsidRDefault="0099442C">
            <w:r>
              <w:t>Not supported</w:t>
            </w:r>
          </w:p>
        </w:tc>
        <w:tc>
          <w:tcPr>
            <w:tcW w:w="2640" w:type="dxa"/>
          </w:tcPr>
          <w:p w14:paraId="26B9192F" w14:textId="77777777" w:rsidR="008D041B" w:rsidRDefault="0099442C">
            <w:r>
              <w:t>desyncTable mechanism</w:t>
            </w:r>
          </w:p>
        </w:tc>
      </w:tr>
      <w:tr w:rsidR="008D041B" w14:paraId="1BC57405" w14:textId="77777777">
        <w:tc>
          <w:tcPr>
            <w:tcW w:w="2640" w:type="dxa"/>
          </w:tcPr>
          <w:p w14:paraId="19594B36" w14:textId="77777777" w:rsidR="008D041B" w:rsidRDefault="0099442C">
            <w:r>
              <w:lastRenderedPageBreak/>
              <w:t>Population hierarchy</w:t>
            </w:r>
          </w:p>
        </w:tc>
        <w:tc>
          <w:tcPr>
            <w:tcW w:w="2640" w:type="dxa"/>
          </w:tcPr>
          <w:p w14:paraId="11A7121D" w14:textId="77777777" w:rsidR="008D041B" w:rsidRDefault="0099442C">
            <w:r>
              <w:t>Nested XML</w:t>
            </w:r>
          </w:p>
        </w:tc>
        <w:tc>
          <w:tcPr>
            <w:tcW w:w="2640" w:type="dxa"/>
          </w:tcPr>
          <w:p w14:paraId="516E9E8D" w14:textId="77777777" w:rsidR="008D041B" w:rsidRDefault="0099442C">
            <w:r>
              <w:t>Parent/child UUID references</w:t>
            </w:r>
          </w:p>
        </w:tc>
      </w:tr>
    </w:tbl>
    <w:p w14:paraId="0100B3C5" w14:textId="77777777" w:rsidR="008D041B" w:rsidRPr="00977AB2" w:rsidRDefault="0099442C">
      <w:pPr>
        <w:rPr>
          <w:lang w:val="en-US"/>
        </w:rPr>
      </w:pPr>
      <w:r w:rsidRPr="00977AB2">
        <w:rPr>
          <w:lang w:val="en-US"/>
        </w:rPr>
        <w:t>The v11 JSON schema contains  top-level entity types including: groups, dataSources, populationDefinitions, populations, compoundParameterSets, compoundPopulations, paramsetDefinitions, platforms, cytometers, and analysisRoot. Each entity maintains cross-reference sections (parents, children, results) that link to other entities by UUID. A single group entity, for example, carries parent and child references to all other entity types, requiring that any write operation maintain global UUID consistency across the entire workspace graph. By contrast, the v10 XML schema uses nested containment: a &lt;Population&gt; element that contains its &lt;Gate&gt; is self-contained and does not require references to be resolved elsewhere in the document.</w:t>
      </w:r>
    </w:p>
    <w:p w14:paraId="12FD38C7" w14:textId="77777777" w:rsidR="008D041B" w:rsidRPr="00977AB2" w:rsidRDefault="0099442C">
      <w:pPr>
        <w:rPr>
          <w:lang w:val="en-US"/>
        </w:rPr>
      </w:pPr>
      <w:r w:rsidRPr="00977AB2">
        <w:rPr>
          <w:lang w:val="en-US"/>
        </w:rPr>
        <w:t>The complexity of constructing a valid v11 export — requiring the generation of a consistent UUID dependency graph across all 10 entity types — is the primary technical barrier to implementing v11 export.</w:t>
      </w:r>
    </w:p>
    <w:p w14:paraId="1777E437" w14:textId="3FC59140" w:rsidR="008D041B" w:rsidRDefault="00485EE6" w:rsidP="00485EE6">
      <w:pPr>
        <w:pStyle w:val="Heading2"/>
        <w:numPr>
          <w:ilvl w:val="0"/>
          <w:numId w:val="0"/>
        </w:numPr>
        <w:ind w:left="709"/>
      </w:pPr>
      <w:bookmarkStart w:id="14" w:name="a.2-gate-type-conversion"/>
      <w:bookmarkEnd w:id="13"/>
      <w:r>
        <w:t>E</w:t>
      </w:r>
      <w:r w:rsidR="0099442C">
        <w:t>.2 Gate type conversion</w:t>
      </w:r>
    </w:p>
    <w:p w14:paraId="6D7AE09E" w14:textId="77777777" w:rsidR="008D041B" w:rsidRDefault="0099442C" w:rsidP="00485EE6">
      <w:pPr>
        <w:pStyle w:val="Heading3"/>
        <w:numPr>
          <w:ilvl w:val="0"/>
          <w:numId w:val="0"/>
        </w:numPr>
        <w:ind w:left="993"/>
      </w:pPr>
      <w:bookmarkStart w:id="15" w:name="rectangle-gates"/>
      <w:r>
        <w:t>Rectangle gates</w:t>
      </w:r>
    </w:p>
    <w:p w14:paraId="1E07EC4C" w14:textId="77777777" w:rsidR="008D041B" w:rsidRPr="00977AB2" w:rsidRDefault="0099442C">
      <w:pPr>
        <w:rPr>
          <w:lang w:val="en-US"/>
        </w:rPr>
      </w:pPr>
      <w:r w:rsidRPr="00977AB2">
        <w:rPr>
          <w:lang w:val="en-US"/>
        </w:rPr>
        <w:t>v11 rectangle gates define min/max boundaries per parameter. On import, these are converted to flowCore::rectangleGate objects. On export to v10, they are written as &lt;gating:RectangleGate&gt; elements with &lt;gating:dimension&gt; children specifying gating:min and gating:max attributes.</w:t>
      </w:r>
    </w:p>
    <w:p w14:paraId="3100E811" w14:textId="77777777" w:rsidR="008D041B" w:rsidRDefault="0099442C">
      <w:r w:rsidRPr="00977AB2">
        <w:rPr>
          <w:lang w:val="en-US"/>
        </w:rPr>
        <w:t xml:space="preserve">1D rectangle gates (range gates in v11 terminology) are imported as rectangleGate objects with one bounded and one unbounded dimension. </w:t>
      </w:r>
      <w:r>
        <w:t>They are exported using the same &lt;gating:RectangleGate&gt; structure.</w:t>
      </w:r>
    </w:p>
    <w:p w14:paraId="0AD3A075" w14:textId="77777777" w:rsidR="008D041B" w:rsidRDefault="0099442C" w:rsidP="00485EE6">
      <w:pPr>
        <w:pStyle w:val="Heading3"/>
        <w:numPr>
          <w:ilvl w:val="0"/>
          <w:numId w:val="0"/>
        </w:numPr>
        <w:ind w:left="993"/>
      </w:pPr>
      <w:bookmarkStart w:id="16" w:name="polygon-gates"/>
      <w:bookmarkEnd w:id="15"/>
      <w:r>
        <w:t>Polygon gates</w:t>
      </w:r>
    </w:p>
    <w:p w14:paraId="73BF5888" w14:textId="77777777" w:rsidR="008D041B" w:rsidRPr="00977AB2" w:rsidRDefault="0099442C">
      <w:pPr>
        <w:rPr>
          <w:lang w:val="en-US"/>
        </w:rPr>
      </w:pPr>
      <w:r w:rsidRPr="00977AB2">
        <w:rPr>
          <w:lang w:val="en-US"/>
        </w:rPr>
        <w:t>v11 polygon gates store vertex coordinates as arrays of [x, y] pairs. On import, vertices are converted to a flowCore::polygonGate matrix. Coordinate inverse-transformation is applied to map from display space to data space. On export, vertices are written as &lt;gating:vertex&gt; elements within &lt;gating:PolygonGate&gt;.</w:t>
      </w:r>
    </w:p>
    <w:p w14:paraId="0EB443CF" w14:textId="77777777" w:rsidR="008D041B" w:rsidRDefault="0099442C" w:rsidP="00485EE6">
      <w:pPr>
        <w:pStyle w:val="Heading3"/>
        <w:numPr>
          <w:ilvl w:val="0"/>
          <w:numId w:val="0"/>
        </w:numPr>
        <w:ind w:left="993"/>
      </w:pPr>
      <w:bookmarkStart w:id="17" w:name="ellipsoid-gates"/>
      <w:bookmarkEnd w:id="16"/>
      <w:r>
        <w:t>Ellipsoid gates</w:t>
      </w:r>
    </w:p>
    <w:p w14:paraId="349A0CFB" w14:textId="77777777" w:rsidR="008D041B" w:rsidRPr="00977AB2" w:rsidRDefault="0099442C">
      <w:pPr>
        <w:rPr>
          <w:lang w:val="en-US"/>
        </w:rPr>
      </w:pPr>
      <w:r w:rsidRPr="00977AB2">
        <w:rPr>
          <w:lang w:val="en-US"/>
        </w:rPr>
        <w:t>v11 ellipsoid gates are parameterized by a mean vector and covariance matrix. On import, these are converted to flowCore::ellipsoidGate objects. On export to v10, eigenvalue decomposition is applied to derive rotation angle and semi-axis lengths for the &lt;gating:EllipsoidGate&gt; representation. This decomposition introduces minor numerical differences relative to the original v11 gate.</w:t>
      </w:r>
    </w:p>
    <w:p w14:paraId="14F0B62E" w14:textId="77777777" w:rsidR="008D041B" w:rsidRDefault="0099442C" w:rsidP="00485EE6">
      <w:pPr>
        <w:pStyle w:val="Heading3"/>
        <w:numPr>
          <w:ilvl w:val="0"/>
          <w:numId w:val="0"/>
        </w:numPr>
        <w:ind w:left="993"/>
      </w:pPr>
      <w:bookmarkStart w:id="18" w:name="boolean-gates"/>
      <w:bookmarkEnd w:id="17"/>
      <w:r>
        <w:t>Boolean gates</w:t>
      </w:r>
    </w:p>
    <w:p w14:paraId="7189B0A4" w14:textId="77777777" w:rsidR="008D041B" w:rsidRPr="00977AB2" w:rsidRDefault="0099442C">
      <w:pPr>
        <w:rPr>
          <w:lang w:val="en-US"/>
        </w:rPr>
      </w:pPr>
      <w:r w:rsidRPr="00977AB2">
        <w:rPr>
          <w:lang w:val="en-US"/>
        </w:rPr>
        <w:t>v11 Boolean gates reference other gates by UUID and specify AND/OR/NOT combinations. On import, UUID references are resolved to population paths and a flowCore::booleanFilter is constructed. On export, Boolean logic is preserved in &lt;gating:BooleanGate&gt; elements referencing gates by population path.</w:t>
      </w:r>
    </w:p>
    <w:p w14:paraId="4A4A6AAE" w14:textId="77777777" w:rsidR="008D041B" w:rsidRDefault="0099442C" w:rsidP="00485EE6">
      <w:pPr>
        <w:pStyle w:val="Heading3"/>
        <w:numPr>
          <w:ilvl w:val="0"/>
          <w:numId w:val="0"/>
        </w:numPr>
        <w:ind w:left="993"/>
      </w:pPr>
      <w:bookmarkStart w:id="19" w:name="quadrant-gates"/>
      <w:bookmarkEnd w:id="18"/>
      <w:r>
        <w:t>Quadrant gates</w:t>
      </w:r>
    </w:p>
    <w:p w14:paraId="23EB6CA7" w14:textId="77777777" w:rsidR="008D041B" w:rsidRPr="00977AB2" w:rsidRDefault="0099442C">
      <w:pPr>
        <w:rPr>
          <w:lang w:val="en-US"/>
        </w:rPr>
      </w:pPr>
      <w:r w:rsidRPr="00977AB2">
        <w:rPr>
          <w:lang w:val="en-US"/>
        </w:rPr>
        <w:t xml:space="preserve">v11 quadrant gates define dividing lines on two axes, producing four quadrant populations. On import, CyFj11 converts each quadrant into a flowCore::quadGate object. On export to v10, quadrant gates have no direct XML representation in the format CyFj11 generates and are excluded with a warning. </w:t>
      </w:r>
    </w:p>
    <w:p w14:paraId="19B41B89" w14:textId="5686BEFA" w:rsidR="008D041B" w:rsidRDefault="00485EE6" w:rsidP="00485EE6">
      <w:pPr>
        <w:pStyle w:val="Heading2"/>
        <w:numPr>
          <w:ilvl w:val="0"/>
          <w:numId w:val="0"/>
        </w:numPr>
        <w:ind w:left="709"/>
      </w:pPr>
      <w:bookmarkStart w:id="20" w:name="a.3-transformation-parameter-mapping"/>
      <w:bookmarkEnd w:id="14"/>
      <w:bookmarkEnd w:id="19"/>
      <w:r>
        <w:lastRenderedPageBreak/>
        <w:t>E</w:t>
      </w:r>
      <w:r w:rsidR="0099442C">
        <w:t>.3 Transformation parameter mapping</w:t>
      </w:r>
    </w:p>
    <w:p w14:paraId="2D911A95" w14:textId="77777777" w:rsidR="008D041B" w:rsidRPr="00977AB2" w:rsidRDefault="0099442C">
      <w:pPr>
        <w:rPr>
          <w:lang w:val="en-US"/>
        </w:rPr>
      </w:pPr>
      <w:r w:rsidRPr="00977AB2">
        <w:rPr>
          <w:lang w:val="en-US"/>
        </w:rPr>
        <w:t>All transformations are extracted from v11 axis definitions and converted to the corresponding flowCore transformation objects on import. On export to v10, they are written as &lt;transforms:*&gt; elements with the appropriate parameter attributes.</w:t>
      </w:r>
    </w:p>
    <w:p w14:paraId="32B5885E" w14:textId="77777777" w:rsidR="008D041B" w:rsidRPr="00977AB2" w:rsidRDefault="0099442C">
      <w:pPr>
        <w:rPr>
          <w:lang w:val="en-US"/>
        </w:rPr>
      </w:pPr>
      <w:r w:rsidRPr="00977AB2">
        <w:rPr>
          <w:b/>
          <w:bCs/>
          <w:lang w:val="en-US"/>
        </w:rPr>
        <w:t>Display-space versus data-space values:</w:t>
      </w:r>
      <w:r w:rsidRPr="00977AB2">
        <w:rPr>
          <w:lang w:val="en-US"/>
        </w:rPr>
        <w:t xml:space="preserve"> An important distinction when working with FlowJo transformations is that FlowJo displays gate coordinates in </w:t>
      </w:r>
      <w:r w:rsidRPr="00977AB2">
        <w:rPr>
          <w:i/>
          <w:iCs/>
          <w:lang w:val="en-US"/>
        </w:rPr>
        <w:t>display space</w:t>
      </w:r>
      <w:r w:rsidRPr="00977AB2">
        <w:rPr>
          <w:lang w:val="en-US"/>
        </w:rPr>
        <w:t xml:space="preserve"> (the transformed, scaled axis values shown on screen), while flowCore and the Gating-ML 2.0 standard store gate coordinates in </w:t>
      </w:r>
      <w:r w:rsidRPr="00977AB2">
        <w:rPr>
          <w:i/>
          <w:iCs/>
          <w:lang w:val="en-US"/>
        </w:rPr>
        <w:t>data space</w:t>
      </w:r>
      <w:r w:rsidRPr="00977AB2">
        <w:rPr>
          <w:lang w:val="en-US"/>
        </w:rPr>
        <w:t xml:space="preserve"> (raw channel values). CyFj11 handles the inverse transformation from display space to data space during import for gate coordinate extraction, and applies the forward transformation during export. Users inspecting gate coordinates directly in the v10 XML should be aware that these are in data space and will differ from the values shown on FlowJo’s axis.</w:t>
      </w:r>
    </w:p>
    <w:tbl>
      <w:tblPr>
        <w:tblW w:w="5000" w:type="pct"/>
        <w:tblLayout w:type="fixed"/>
        <w:tblLook w:val="0020" w:firstRow="1" w:lastRow="0" w:firstColumn="0" w:lastColumn="0" w:noHBand="0" w:noVBand="0"/>
      </w:tblPr>
      <w:tblGrid>
        <w:gridCol w:w="2268"/>
        <w:gridCol w:w="2268"/>
        <w:gridCol w:w="2268"/>
        <w:gridCol w:w="2268"/>
      </w:tblGrid>
      <w:tr w:rsidR="008D041B" w14:paraId="4DB6DA12" w14:textId="77777777">
        <w:trPr>
          <w:tblHeader/>
        </w:trPr>
        <w:tc>
          <w:tcPr>
            <w:tcW w:w="1980" w:type="dxa"/>
          </w:tcPr>
          <w:p w14:paraId="793D4780" w14:textId="77777777" w:rsidR="008D041B" w:rsidRPr="00C54088" w:rsidRDefault="0099442C">
            <w:pPr>
              <w:rPr>
                <w:color w:val="EE0000"/>
              </w:rPr>
            </w:pPr>
            <w:r w:rsidRPr="00C54088">
              <w:rPr>
                <w:color w:val="EE0000"/>
              </w:rPr>
              <w:t>Transformation</w:t>
            </w:r>
          </w:p>
        </w:tc>
        <w:tc>
          <w:tcPr>
            <w:tcW w:w="1980" w:type="dxa"/>
          </w:tcPr>
          <w:p w14:paraId="3EECF309" w14:textId="77777777" w:rsidR="008D041B" w:rsidRPr="00C54088" w:rsidRDefault="0099442C">
            <w:pPr>
              <w:rPr>
                <w:color w:val="EE0000"/>
              </w:rPr>
            </w:pPr>
            <w:r w:rsidRPr="00C54088">
              <w:rPr>
                <w:color w:val="EE0000"/>
              </w:rPr>
              <w:t>v11 parameter names</w:t>
            </w:r>
          </w:p>
        </w:tc>
        <w:tc>
          <w:tcPr>
            <w:tcW w:w="1980" w:type="dxa"/>
          </w:tcPr>
          <w:p w14:paraId="23346B93" w14:textId="77777777" w:rsidR="008D041B" w:rsidRPr="00C54088" w:rsidRDefault="0099442C">
            <w:pPr>
              <w:rPr>
                <w:color w:val="EE0000"/>
              </w:rPr>
            </w:pPr>
            <w:r w:rsidRPr="00C54088">
              <w:rPr>
                <w:color w:val="EE0000"/>
              </w:rPr>
              <w:t>v10 / flowCore parameter names</w:t>
            </w:r>
          </w:p>
        </w:tc>
        <w:tc>
          <w:tcPr>
            <w:tcW w:w="1980" w:type="dxa"/>
          </w:tcPr>
          <w:p w14:paraId="2D0FAEEF" w14:textId="77777777" w:rsidR="008D041B" w:rsidRPr="00C54088" w:rsidRDefault="0099442C">
            <w:pPr>
              <w:rPr>
                <w:color w:val="EE0000"/>
              </w:rPr>
            </w:pPr>
            <w:r w:rsidRPr="00C54088">
              <w:rPr>
                <w:color w:val="EE0000"/>
              </w:rPr>
              <w:t>Notes</w:t>
            </w:r>
          </w:p>
        </w:tc>
      </w:tr>
      <w:tr w:rsidR="008D041B" w14:paraId="05523484" w14:textId="77777777">
        <w:tc>
          <w:tcPr>
            <w:tcW w:w="1980" w:type="dxa"/>
          </w:tcPr>
          <w:p w14:paraId="7AD8B6CF" w14:textId="77777777" w:rsidR="008D041B" w:rsidRPr="00C54088" w:rsidRDefault="0099442C">
            <w:pPr>
              <w:rPr>
                <w:color w:val="EE0000"/>
              </w:rPr>
            </w:pPr>
            <w:r w:rsidRPr="00C54088">
              <w:rPr>
                <w:color w:val="EE0000"/>
              </w:rPr>
              <w:t>Biexponential</w:t>
            </w:r>
          </w:p>
        </w:tc>
        <w:tc>
          <w:tcPr>
            <w:tcW w:w="1980" w:type="dxa"/>
          </w:tcPr>
          <w:p w14:paraId="66EA0DF8" w14:textId="77777777" w:rsidR="008D041B" w:rsidRPr="00C54088" w:rsidRDefault="0099442C">
            <w:pPr>
              <w:rPr>
                <w:color w:val="EE0000"/>
              </w:rPr>
            </w:pPr>
            <w:r w:rsidRPr="00C54088">
              <w:rPr>
                <w:color w:val="EE0000"/>
              </w:rPr>
              <w:t>T, W, M, A</w:t>
            </w:r>
          </w:p>
        </w:tc>
        <w:tc>
          <w:tcPr>
            <w:tcW w:w="1980" w:type="dxa"/>
          </w:tcPr>
          <w:p w14:paraId="3C26DD27" w14:textId="77777777" w:rsidR="008D041B" w:rsidRPr="00C54088" w:rsidRDefault="0099442C">
            <w:pPr>
              <w:rPr>
                <w:color w:val="EE0000"/>
              </w:rPr>
            </w:pPr>
            <w:r w:rsidRPr="00C54088">
              <w:rPr>
                <w:color w:val="EE0000"/>
              </w:rPr>
              <w:t>T, W, M, A</w:t>
            </w:r>
          </w:p>
        </w:tc>
        <w:tc>
          <w:tcPr>
            <w:tcW w:w="1980" w:type="dxa"/>
          </w:tcPr>
          <w:p w14:paraId="39FEF6E3" w14:textId="77777777" w:rsidR="008D041B" w:rsidRPr="00C54088" w:rsidRDefault="0099442C">
            <w:pPr>
              <w:rPr>
                <w:color w:val="EE0000"/>
              </w:rPr>
            </w:pPr>
            <w:r w:rsidRPr="00C54088">
              <w:rPr>
                <w:color w:val="EE0000"/>
              </w:rPr>
              <w:t>Direct mapping</w:t>
            </w:r>
          </w:p>
        </w:tc>
      </w:tr>
      <w:tr w:rsidR="008D041B" w14:paraId="103FE2F3" w14:textId="77777777">
        <w:tc>
          <w:tcPr>
            <w:tcW w:w="1980" w:type="dxa"/>
          </w:tcPr>
          <w:p w14:paraId="3DB55B75" w14:textId="77777777" w:rsidR="008D041B" w:rsidRPr="00C54088" w:rsidRDefault="0099442C">
            <w:pPr>
              <w:rPr>
                <w:color w:val="EE0000"/>
              </w:rPr>
            </w:pPr>
            <w:r w:rsidRPr="00C54088">
              <w:rPr>
                <w:color w:val="EE0000"/>
              </w:rPr>
              <w:t>Logicle</w:t>
            </w:r>
          </w:p>
        </w:tc>
        <w:tc>
          <w:tcPr>
            <w:tcW w:w="1980" w:type="dxa"/>
          </w:tcPr>
          <w:p w14:paraId="7182777C" w14:textId="77777777" w:rsidR="008D041B" w:rsidRPr="00C54088" w:rsidRDefault="0099442C">
            <w:pPr>
              <w:rPr>
                <w:color w:val="EE0000"/>
              </w:rPr>
            </w:pPr>
            <w:r w:rsidRPr="00C54088">
              <w:rPr>
                <w:color w:val="EE0000"/>
              </w:rPr>
              <w:t>T, W, M, A</w:t>
            </w:r>
          </w:p>
        </w:tc>
        <w:tc>
          <w:tcPr>
            <w:tcW w:w="1980" w:type="dxa"/>
          </w:tcPr>
          <w:p w14:paraId="352EC409" w14:textId="77777777" w:rsidR="008D041B" w:rsidRPr="00C54088" w:rsidRDefault="0099442C">
            <w:pPr>
              <w:rPr>
                <w:color w:val="EE0000"/>
              </w:rPr>
            </w:pPr>
            <w:r w:rsidRPr="00C54088">
              <w:rPr>
                <w:color w:val="EE0000"/>
              </w:rPr>
              <w:t>T, W, M, A</w:t>
            </w:r>
          </w:p>
        </w:tc>
        <w:tc>
          <w:tcPr>
            <w:tcW w:w="1980" w:type="dxa"/>
          </w:tcPr>
          <w:p w14:paraId="5E236E00" w14:textId="77777777" w:rsidR="008D041B" w:rsidRPr="00C54088" w:rsidRDefault="0099442C">
            <w:pPr>
              <w:rPr>
                <w:color w:val="EE0000"/>
              </w:rPr>
            </w:pPr>
            <w:r w:rsidRPr="00C54088">
              <w:rPr>
                <w:color w:val="EE0000"/>
              </w:rPr>
              <w:t>Direct mapping</w:t>
            </w:r>
          </w:p>
        </w:tc>
      </w:tr>
      <w:tr w:rsidR="008D041B" w14:paraId="3E0FE831" w14:textId="77777777">
        <w:tc>
          <w:tcPr>
            <w:tcW w:w="1980" w:type="dxa"/>
          </w:tcPr>
          <w:p w14:paraId="7DF23BCC" w14:textId="77777777" w:rsidR="008D041B" w:rsidRPr="00C54088" w:rsidRDefault="0099442C">
            <w:pPr>
              <w:rPr>
                <w:color w:val="EE0000"/>
              </w:rPr>
            </w:pPr>
            <w:r w:rsidRPr="00C54088">
              <w:rPr>
                <w:color w:val="EE0000"/>
              </w:rPr>
              <w:t>Log</w:t>
            </w:r>
          </w:p>
        </w:tc>
        <w:tc>
          <w:tcPr>
            <w:tcW w:w="1980" w:type="dxa"/>
          </w:tcPr>
          <w:p w14:paraId="50ECF1CD" w14:textId="77777777" w:rsidR="008D041B" w:rsidRPr="00C54088" w:rsidRDefault="0099442C">
            <w:pPr>
              <w:rPr>
                <w:color w:val="EE0000"/>
              </w:rPr>
            </w:pPr>
            <w:r w:rsidRPr="00C54088">
              <w:rPr>
                <w:color w:val="EE0000"/>
              </w:rPr>
              <w:t>decades, offset</w:t>
            </w:r>
          </w:p>
        </w:tc>
        <w:tc>
          <w:tcPr>
            <w:tcW w:w="1980" w:type="dxa"/>
          </w:tcPr>
          <w:p w14:paraId="2D052682" w14:textId="77777777" w:rsidR="008D041B" w:rsidRPr="00C54088" w:rsidRDefault="0099442C">
            <w:pPr>
              <w:rPr>
                <w:color w:val="EE0000"/>
              </w:rPr>
            </w:pPr>
            <w:r w:rsidRPr="00C54088">
              <w:rPr>
                <w:color w:val="EE0000"/>
              </w:rPr>
              <w:t>decades, offset</w:t>
            </w:r>
          </w:p>
        </w:tc>
        <w:tc>
          <w:tcPr>
            <w:tcW w:w="1980" w:type="dxa"/>
          </w:tcPr>
          <w:p w14:paraId="39A30552" w14:textId="77777777" w:rsidR="008D041B" w:rsidRPr="00C54088" w:rsidRDefault="0099442C">
            <w:pPr>
              <w:rPr>
                <w:color w:val="EE0000"/>
              </w:rPr>
            </w:pPr>
            <w:r w:rsidRPr="00C54088">
              <w:rPr>
                <w:color w:val="EE0000"/>
              </w:rPr>
              <w:t>Base 10 assumed</w:t>
            </w:r>
          </w:p>
        </w:tc>
      </w:tr>
      <w:tr w:rsidR="008D041B" w14:paraId="4155E003" w14:textId="77777777">
        <w:tc>
          <w:tcPr>
            <w:tcW w:w="1980" w:type="dxa"/>
          </w:tcPr>
          <w:p w14:paraId="034B6BA2" w14:textId="77777777" w:rsidR="008D041B" w:rsidRPr="00C54088" w:rsidRDefault="0099442C">
            <w:pPr>
              <w:rPr>
                <w:color w:val="EE0000"/>
              </w:rPr>
            </w:pPr>
            <w:r w:rsidRPr="00C54088">
              <w:rPr>
                <w:color w:val="EE0000"/>
              </w:rPr>
              <w:t>Arcsinh</w:t>
            </w:r>
          </w:p>
        </w:tc>
        <w:tc>
          <w:tcPr>
            <w:tcW w:w="1980" w:type="dxa"/>
          </w:tcPr>
          <w:p w14:paraId="7F6CD26E" w14:textId="77777777" w:rsidR="008D041B" w:rsidRPr="00C54088" w:rsidRDefault="0099442C">
            <w:pPr>
              <w:rPr>
                <w:color w:val="EE0000"/>
              </w:rPr>
            </w:pPr>
            <w:r w:rsidRPr="00C54088">
              <w:rPr>
                <w:color w:val="EE0000"/>
              </w:rPr>
              <w:t>T, A</w:t>
            </w:r>
          </w:p>
        </w:tc>
        <w:tc>
          <w:tcPr>
            <w:tcW w:w="1980" w:type="dxa"/>
          </w:tcPr>
          <w:p w14:paraId="0CD1C917" w14:textId="77777777" w:rsidR="008D041B" w:rsidRPr="00C54088" w:rsidRDefault="0099442C">
            <w:pPr>
              <w:rPr>
                <w:color w:val="EE0000"/>
                <w:lang w:val="en-US"/>
              </w:rPr>
            </w:pPr>
            <w:r w:rsidRPr="00C54088">
              <w:rPr>
                <w:color w:val="EE0000"/>
                <w:lang w:val="en-US"/>
              </w:rPr>
              <w:t>length, maxRange, T, A, M, W</w:t>
            </w:r>
          </w:p>
        </w:tc>
        <w:tc>
          <w:tcPr>
            <w:tcW w:w="1980" w:type="dxa"/>
          </w:tcPr>
          <w:p w14:paraId="671C3CD0" w14:textId="77777777" w:rsidR="008D041B" w:rsidRPr="00C54088" w:rsidRDefault="0099442C">
            <w:pPr>
              <w:rPr>
                <w:color w:val="EE0000"/>
              </w:rPr>
            </w:pPr>
            <w:r w:rsidRPr="00C54088">
              <w:rPr>
                <w:color w:val="EE0000"/>
              </w:rPr>
              <w:t>Parameter extension required</w:t>
            </w:r>
          </w:p>
        </w:tc>
      </w:tr>
      <w:tr w:rsidR="008D041B" w14:paraId="007D6C1F" w14:textId="77777777">
        <w:tc>
          <w:tcPr>
            <w:tcW w:w="1980" w:type="dxa"/>
          </w:tcPr>
          <w:p w14:paraId="167FB4E0" w14:textId="77777777" w:rsidR="008D041B" w:rsidRPr="00C54088" w:rsidRDefault="0099442C">
            <w:pPr>
              <w:rPr>
                <w:color w:val="EE0000"/>
              </w:rPr>
            </w:pPr>
            <w:r w:rsidRPr="00C54088">
              <w:rPr>
                <w:color w:val="EE0000"/>
              </w:rPr>
              <w:t>Linear</w:t>
            </w:r>
          </w:p>
        </w:tc>
        <w:tc>
          <w:tcPr>
            <w:tcW w:w="1980" w:type="dxa"/>
          </w:tcPr>
          <w:p w14:paraId="3C4AAA6D" w14:textId="77777777" w:rsidR="008D041B" w:rsidRPr="00C54088" w:rsidRDefault="0099442C">
            <w:pPr>
              <w:rPr>
                <w:color w:val="EE0000"/>
              </w:rPr>
            </w:pPr>
            <w:r w:rsidRPr="00C54088">
              <w:rPr>
                <w:color w:val="EE0000"/>
              </w:rPr>
              <w:t>min, max</w:t>
            </w:r>
          </w:p>
        </w:tc>
        <w:tc>
          <w:tcPr>
            <w:tcW w:w="1980" w:type="dxa"/>
          </w:tcPr>
          <w:p w14:paraId="1778E227" w14:textId="77777777" w:rsidR="008D041B" w:rsidRPr="00C54088" w:rsidRDefault="0099442C">
            <w:pPr>
              <w:rPr>
                <w:color w:val="EE0000"/>
              </w:rPr>
            </w:pPr>
            <w:r w:rsidRPr="00C54088">
              <w:rPr>
                <w:color w:val="EE0000"/>
              </w:rPr>
              <w:t>minRange, maxRange</w:t>
            </w:r>
          </w:p>
        </w:tc>
        <w:tc>
          <w:tcPr>
            <w:tcW w:w="1980" w:type="dxa"/>
          </w:tcPr>
          <w:p w14:paraId="1388C1BF" w14:textId="77777777" w:rsidR="008D041B" w:rsidRPr="00C54088" w:rsidRDefault="0099442C">
            <w:pPr>
              <w:rPr>
                <w:color w:val="EE0000"/>
              </w:rPr>
            </w:pPr>
            <w:r w:rsidRPr="00C54088">
              <w:rPr>
                <w:color w:val="EE0000"/>
              </w:rPr>
              <w:t>Direct mapping</w:t>
            </w:r>
          </w:p>
        </w:tc>
      </w:tr>
    </w:tbl>
    <w:p w14:paraId="66A9896C" w14:textId="229D4934" w:rsidR="008D041B" w:rsidRDefault="00485EE6" w:rsidP="00485EE6">
      <w:pPr>
        <w:pStyle w:val="Heading2"/>
        <w:numPr>
          <w:ilvl w:val="0"/>
          <w:numId w:val="0"/>
        </w:numPr>
        <w:ind w:left="709"/>
      </w:pPr>
      <w:bookmarkStart w:id="21" w:name="a.4-package-architecture"/>
      <w:bookmarkEnd w:id="20"/>
      <w:r>
        <w:t>E</w:t>
      </w:r>
      <w:r w:rsidR="0099442C">
        <w:t>.4 Package architecture</w:t>
      </w:r>
    </w:p>
    <w:p w14:paraId="1109DBDD" w14:textId="77777777" w:rsidR="008D041B" w:rsidRPr="00977AB2" w:rsidRDefault="0099442C">
      <w:pPr>
        <w:rPr>
          <w:lang w:val="en-US"/>
        </w:rPr>
      </w:pPr>
      <w:r w:rsidRPr="00977AB2">
        <w:rPr>
          <w:lang w:val="en-US"/>
        </w:rPr>
        <w:t>CyFj11 is organized into the following R source modules:</w:t>
      </w:r>
    </w:p>
    <w:tbl>
      <w:tblPr>
        <w:tblW w:w="5000" w:type="pct"/>
        <w:tblLayout w:type="fixed"/>
        <w:tblLook w:val="0020" w:firstRow="1" w:lastRow="0" w:firstColumn="0" w:lastColumn="0" w:noHBand="0" w:noVBand="0"/>
      </w:tblPr>
      <w:tblGrid>
        <w:gridCol w:w="4536"/>
        <w:gridCol w:w="4536"/>
      </w:tblGrid>
      <w:tr w:rsidR="008D041B" w14:paraId="58F5088D" w14:textId="77777777">
        <w:trPr>
          <w:tblHeader/>
        </w:trPr>
        <w:tc>
          <w:tcPr>
            <w:tcW w:w="3960" w:type="dxa"/>
          </w:tcPr>
          <w:p w14:paraId="4244743E" w14:textId="77777777" w:rsidR="008D041B" w:rsidRDefault="0099442C">
            <w:r>
              <w:t>File</w:t>
            </w:r>
          </w:p>
        </w:tc>
        <w:tc>
          <w:tcPr>
            <w:tcW w:w="3960" w:type="dxa"/>
          </w:tcPr>
          <w:p w14:paraId="572C48E3" w14:textId="77777777" w:rsidR="008D041B" w:rsidRDefault="0099442C">
            <w:r>
              <w:t>Responsibility</w:t>
            </w:r>
          </w:p>
        </w:tc>
      </w:tr>
      <w:tr w:rsidR="008D041B" w:rsidRPr="00DC234C" w14:paraId="3D1EB135" w14:textId="77777777">
        <w:tc>
          <w:tcPr>
            <w:tcW w:w="3960" w:type="dxa"/>
          </w:tcPr>
          <w:p w14:paraId="4B55EC21" w14:textId="77777777" w:rsidR="008D041B" w:rsidRDefault="0099442C">
            <w:r>
              <w:t>archive.R</w:t>
            </w:r>
          </w:p>
        </w:tc>
        <w:tc>
          <w:tcPr>
            <w:tcW w:w="3960" w:type="dxa"/>
          </w:tcPr>
          <w:p w14:paraId="3A507ED6" w14:textId="77777777" w:rsidR="008D041B" w:rsidRPr="00977AB2" w:rsidRDefault="0099442C">
            <w:pPr>
              <w:rPr>
                <w:lang w:val="en-US"/>
              </w:rPr>
            </w:pPr>
            <w:r w:rsidRPr="00977AB2">
              <w:rPr>
                <w:lang w:val="en-US"/>
              </w:rPr>
              <w:t>ZIP extraction, JSON parsing, manifest reading</w:t>
            </w:r>
          </w:p>
        </w:tc>
      </w:tr>
      <w:tr w:rsidR="008D041B" w:rsidRPr="00DC234C" w14:paraId="4BD48A7F" w14:textId="77777777">
        <w:tc>
          <w:tcPr>
            <w:tcW w:w="3960" w:type="dxa"/>
          </w:tcPr>
          <w:p w14:paraId="5D811372" w14:textId="77777777" w:rsidR="008D041B" w:rsidRDefault="0099442C">
            <w:r>
              <w:t>conversion.R</w:t>
            </w:r>
          </w:p>
        </w:tc>
        <w:tc>
          <w:tcPr>
            <w:tcW w:w="3960" w:type="dxa"/>
          </w:tcPr>
          <w:p w14:paraId="3BD3EA69" w14:textId="77777777" w:rsidR="008D041B" w:rsidRPr="00977AB2" w:rsidRDefault="0099442C">
            <w:pPr>
              <w:rPr>
                <w:lang w:val="en-US"/>
              </w:rPr>
            </w:pPr>
            <w:r w:rsidRPr="00977AB2">
              <w:rPr>
                <w:lang w:val="en-US"/>
              </w:rPr>
              <w:t>Per-sample GatingSet list construction from parsed workspace</w:t>
            </w:r>
          </w:p>
        </w:tc>
      </w:tr>
      <w:tr w:rsidR="008D041B" w14:paraId="2B1CAF07" w14:textId="77777777">
        <w:tc>
          <w:tcPr>
            <w:tcW w:w="3960" w:type="dxa"/>
          </w:tcPr>
          <w:p w14:paraId="33D20780" w14:textId="77777777" w:rsidR="008D041B" w:rsidRDefault="0099442C">
            <w:r>
              <w:t>export-flowjo10.R</w:t>
            </w:r>
          </w:p>
        </w:tc>
        <w:tc>
          <w:tcPr>
            <w:tcW w:w="3960" w:type="dxa"/>
          </w:tcPr>
          <w:p w14:paraId="1B76796B" w14:textId="77777777" w:rsidR="008D041B" w:rsidRDefault="0099442C">
            <w:r>
              <w:t>Gating-ML 2.0 XML generation</w:t>
            </w:r>
          </w:p>
        </w:tc>
      </w:tr>
      <w:tr w:rsidR="008D041B" w14:paraId="0A67840E" w14:textId="77777777">
        <w:tc>
          <w:tcPr>
            <w:tcW w:w="3960" w:type="dxa"/>
          </w:tcPr>
          <w:p w14:paraId="06735904" w14:textId="77777777" w:rsidR="008D041B" w:rsidRDefault="0099442C">
            <w:r>
              <w:t>gates.R</w:t>
            </w:r>
          </w:p>
        </w:tc>
        <w:tc>
          <w:tcPr>
            <w:tcW w:w="3960" w:type="dxa"/>
          </w:tcPr>
          <w:p w14:paraId="122AAE25" w14:textId="77777777" w:rsidR="008D041B" w:rsidRDefault="0099442C">
            <w:r>
              <w:t>Gate type detection, coordinate extraction, conversion</w:t>
            </w:r>
          </w:p>
        </w:tc>
      </w:tr>
      <w:tr w:rsidR="008D041B" w14:paraId="59726526" w14:textId="77777777">
        <w:tc>
          <w:tcPr>
            <w:tcW w:w="3960" w:type="dxa"/>
          </w:tcPr>
          <w:p w14:paraId="4041D2EB" w14:textId="77777777" w:rsidR="008D041B" w:rsidRDefault="0099442C">
            <w:r>
              <w:t>transformations.R</w:t>
            </w:r>
          </w:p>
        </w:tc>
        <w:tc>
          <w:tcPr>
            <w:tcW w:w="3960" w:type="dxa"/>
          </w:tcPr>
          <w:p w14:paraId="3845664D" w14:textId="77777777" w:rsidR="008D041B" w:rsidRDefault="0099442C">
            <w:r>
              <w:t>Transformation extraction and format conversion</w:t>
            </w:r>
          </w:p>
        </w:tc>
      </w:tr>
      <w:tr w:rsidR="008D041B" w:rsidRPr="00DC234C" w14:paraId="5F630265" w14:textId="77777777">
        <w:tc>
          <w:tcPr>
            <w:tcW w:w="3960" w:type="dxa"/>
          </w:tcPr>
          <w:p w14:paraId="149F4018" w14:textId="77777777" w:rsidR="008D041B" w:rsidRDefault="0099442C">
            <w:r>
              <w:t>compensation.R</w:t>
            </w:r>
          </w:p>
        </w:tc>
        <w:tc>
          <w:tcPr>
            <w:tcW w:w="3960" w:type="dxa"/>
          </w:tcPr>
          <w:p w14:paraId="3C6A91AA" w14:textId="77777777" w:rsidR="008D041B" w:rsidRPr="00977AB2" w:rsidRDefault="0099442C">
            <w:pPr>
              <w:rPr>
                <w:lang w:val="en-US"/>
              </w:rPr>
            </w:pPr>
            <w:r w:rsidRPr="00977AB2">
              <w:rPr>
                <w:lang w:val="en-US"/>
              </w:rPr>
              <w:t>Compensation matrix extraction and validation (see also 8 Color PBMC real-world test)</w:t>
            </w:r>
          </w:p>
        </w:tc>
      </w:tr>
      <w:tr w:rsidR="008D041B" w:rsidRPr="00DC234C" w14:paraId="04D64B89" w14:textId="77777777">
        <w:tc>
          <w:tcPr>
            <w:tcW w:w="3960" w:type="dxa"/>
          </w:tcPr>
          <w:p w14:paraId="745FBC26" w14:textId="77777777" w:rsidR="008D041B" w:rsidRDefault="0099442C">
            <w:r>
              <w:t>populations.R</w:t>
            </w:r>
          </w:p>
        </w:tc>
        <w:tc>
          <w:tcPr>
            <w:tcW w:w="3960" w:type="dxa"/>
          </w:tcPr>
          <w:p w14:paraId="17C1E762" w14:textId="77777777" w:rsidR="008D041B" w:rsidRPr="00977AB2" w:rsidRDefault="0099442C">
            <w:pPr>
              <w:rPr>
                <w:lang w:val="en-US"/>
              </w:rPr>
            </w:pPr>
            <w:r w:rsidRPr="00977AB2">
              <w:rPr>
                <w:lang w:val="en-US"/>
              </w:rPr>
              <w:t>Population hierarchy traversal and gate tree construction</w:t>
            </w:r>
          </w:p>
        </w:tc>
      </w:tr>
      <w:tr w:rsidR="008D041B" w:rsidRPr="00DC234C" w14:paraId="35B5BB19" w14:textId="77777777">
        <w:tc>
          <w:tcPr>
            <w:tcW w:w="3960" w:type="dxa"/>
          </w:tcPr>
          <w:p w14:paraId="2C1C6B56" w14:textId="77777777" w:rsidR="008D041B" w:rsidRDefault="0099442C">
            <w:r>
              <w:t>file-search.R</w:t>
            </w:r>
          </w:p>
        </w:tc>
        <w:tc>
          <w:tcPr>
            <w:tcW w:w="3960" w:type="dxa"/>
          </w:tcPr>
          <w:p w14:paraId="594E8E4B" w14:textId="77777777" w:rsidR="008D041B" w:rsidRPr="00977AB2" w:rsidRDefault="0099442C">
            <w:pPr>
              <w:rPr>
                <w:lang w:val="en-US"/>
              </w:rPr>
            </w:pPr>
            <w:r w:rsidRPr="00977AB2">
              <w:rPr>
                <w:lang w:val="en-US"/>
              </w:rPr>
              <w:t>FCS file resolution from FlowJo URI references</w:t>
            </w:r>
          </w:p>
        </w:tc>
      </w:tr>
      <w:tr w:rsidR="008D041B" w14:paraId="6BD362F2" w14:textId="77777777">
        <w:tc>
          <w:tcPr>
            <w:tcW w:w="3960" w:type="dxa"/>
          </w:tcPr>
          <w:p w14:paraId="17D77E7C" w14:textId="77777777" w:rsidR="008D041B" w:rsidRDefault="0099442C">
            <w:r>
              <w:t>helpers.R</w:t>
            </w:r>
          </w:p>
        </w:tc>
        <w:tc>
          <w:tcPr>
            <w:tcW w:w="3960" w:type="dxa"/>
          </w:tcPr>
          <w:p w14:paraId="411C0AB4" w14:textId="77777777" w:rsidR="008D041B" w:rsidRDefault="0099442C">
            <w:r>
              <w:t>Utility functions, UUID validation</w:t>
            </w:r>
          </w:p>
        </w:tc>
      </w:tr>
    </w:tbl>
    <w:p w14:paraId="2787C9AA" w14:textId="5981DC8A" w:rsidR="008D041B" w:rsidRPr="00977AB2" w:rsidRDefault="0099442C">
      <w:pPr>
        <w:rPr>
          <w:lang w:val="en-US"/>
        </w:rPr>
      </w:pPr>
      <w:r w:rsidRPr="00977AB2">
        <w:rPr>
          <w:lang w:val="en-US"/>
        </w:rPr>
        <w:t>The exported functions are: read_flowjo11_workspace(), fj11_to_gatingset(), export_flowjo10_workspace(),</w:t>
      </w:r>
      <w:r w:rsidR="00482E5F">
        <w:rPr>
          <w:lang w:val="en-US"/>
        </w:rPr>
        <w:t xml:space="preserve"> </w:t>
      </w:r>
      <w:r w:rsidRPr="00977AB2">
        <w:rPr>
          <w:lang w:val="en-US"/>
        </w:rPr>
        <w:t>pretty_print_flowjo() (extracts and formats a .flowjo workspace to a human-readable JSON text file, useful for debugging)</w:t>
      </w:r>
      <w:r w:rsidR="00482E5F">
        <w:rPr>
          <w:lang w:val="en-US"/>
        </w:rPr>
        <w:t xml:space="preserve">, and </w:t>
      </w:r>
      <w:r w:rsidR="00482E5F" w:rsidRPr="00482E5F">
        <w:rPr>
          <w:lang w:val="en-US"/>
        </w:rPr>
        <w:t>extract_flowjo_stats()</w:t>
      </w:r>
      <w:r w:rsidRPr="00977AB2">
        <w:rPr>
          <w:lang w:val="en-US"/>
        </w:rPr>
        <w:t>. Three utility functions are also exported: set_verbose(TRUE/FALSE) enables or disables verbose progress logging; get_verbose() returns the current verbosity state; and %||% is a null-coalescing operator that returns its left-hand argument if non-NULL, otherwise the right-hand argument (analogous to ?? in other languages).</w:t>
      </w:r>
    </w:p>
    <w:p w14:paraId="1F5039E1" w14:textId="42899D74" w:rsidR="008D041B" w:rsidRDefault="00485EE6" w:rsidP="00485EE6">
      <w:pPr>
        <w:pStyle w:val="Heading2"/>
        <w:numPr>
          <w:ilvl w:val="0"/>
          <w:numId w:val="0"/>
        </w:numPr>
        <w:ind w:left="709"/>
      </w:pPr>
      <w:bookmarkStart w:id="22" w:name="a.5-validation-methodology"/>
      <w:bookmarkEnd w:id="21"/>
      <w:r>
        <w:lastRenderedPageBreak/>
        <w:t>E</w:t>
      </w:r>
      <w:r w:rsidR="0099442C">
        <w:t>.5 Validation methodology</w:t>
      </w:r>
    </w:p>
    <w:p w14:paraId="63C92C47" w14:textId="77777777" w:rsidR="008D041B" w:rsidRDefault="0099442C" w:rsidP="00485EE6">
      <w:pPr>
        <w:pStyle w:val="Heading3"/>
        <w:numPr>
          <w:ilvl w:val="0"/>
          <w:numId w:val="0"/>
        </w:numPr>
        <w:ind w:left="993"/>
      </w:pPr>
      <w:bookmarkStart w:id="23" w:name="test-workspace-construction"/>
      <w:r>
        <w:t>Test workspace construction</w:t>
      </w:r>
    </w:p>
    <w:p w14:paraId="37B47AD5" w14:textId="77777777" w:rsidR="008D041B" w:rsidRPr="00977AB2" w:rsidRDefault="0099442C">
      <w:pPr>
        <w:rPr>
          <w:lang w:val="en-US"/>
        </w:rPr>
      </w:pPr>
      <w:r w:rsidRPr="00977AB2">
        <w:rPr>
          <w:lang w:val="en-US"/>
        </w:rPr>
        <w:t xml:space="preserve">Thirteen test workspaces were constructed programmatically using the </w:t>
      </w:r>
      <w:r w:rsidRPr="00C54088">
        <w:rPr>
          <w:color w:val="EE0000"/>
          <w:lang w:val="en-US"/>
        </w:rPr>
        <w:t xml:space="preserve">roundtrip_experiment.Rmd </w:t>
      </w:r>
      <w:r w:rsidRPr="00977AB2">
        <w:rPr>
          <w:lang w:val="en-US"/>
        </w:rPr>
        <w:t xml:space="preserve">script included with the package. Synthetic FCS files were generated using log-normal bimodal distributions to simulate realistic fluorescence measurements: scatter channels (FSC-A, FSC-H, SSC-A, SSC-H) were drawn from normal distributions (FSC-A: </w:t>
      </w:r>
      <w:r>
        <w:t>μ</w:t>
      </w:r>
      <w:r w:rsidRPr="00977AB2">
        <w:rPr>
          <w:lang w:val="en-US"/>
        </w:rPr>
        <w:t xml:space="preserve"> = 120,000, </w:t>
      </w:r>
      <w:r>
        <w:t>σ</w:t>
      </w:r>
      <w:r w:rsidRPr="00977AB2">
        <w:rPr>
          <w:lang w:val="en-US"/>
        </w:rPr>
        <w:t xml:space="preserve"> = 30,000; SSC-A: </w:t>
      </w:r>
      <w:r>
        <w:t>μ</w:t>
      </w:r>
      <w:r w:rsidRPr="00977AB2">
        <w:rPr>
          <w:lang w:val="en-US"/>
        </w:rPr>
        <w:t xml:space="preserve"> = 80,000, </w:t>
      </w:r>
      <w:r>
        <w:t>σ</w:t>
      </w:r>
      <w:r w:rsidRPr="00977AB2">
        <w:rPr>
          <w:lang w:val="en-US"/>
        </w:rPr>
        <w:t xml:space="preserve"> = 20,000), and fluorescence channels were drawn from a mixture of two log-normal components (negative population: ~70–80% of events; positive population: ~20–30% of events) to produce realistic positive/negative separations. All random seeds were fixed for reproducibility.</w:t>
      </w:r>
    </w:p>
    <w:p w14:paraId="21D90B75" w14:textId="77777777" w:rsidR="008D041B" w:rsidRPr="00977AB2" w:rsidRDefault="0099442C">
      <w:pPr>
        <w:rPr>
          <w:lang w:val="en-US"/>
        </w:rPr>
      </w:pPr>
      <w:r w:rsidRPr="00977AB2">
        <w:rPr>
          <w:lang w:val="en-US"/>
        </w:rPr>
        <w:t>Gate coordinates were specified to enclose known fractions of the simulated distributions. Transformation parameters were set to standard FlowJo defaults: biexponential with channelRange = 4096, maxValue = 262,144, pos = 4.5, neg = 0; logicle with T = 262,144, W = 0.5, M = 4.5, A = 0; arcsinh with T = 262,144, M = 4.5, A = 0.</w:t>
      </w:r>
    </w:p>
    <w:p w14:paraId="1E994552" w14:textId="77777777" w:rsidR="008D041B" w:rsidRPr="00977AB2" w:rsidRDefault="008D041B">
      <w:pPr>
        <w:rPr>
          <w:lang w:val="en-US"/>
        </w:rPr>
      </w:pPr>
    </w:p>
    <w:p w14:paraId="79052F01" w14:textId="77777777" w:rsidR="008D041B" w:rsidRPr="00977AB2" w:rsidRDefault="008D041B">
      <w:pPr>
        <w:rPr>
          <w:lang w:val="en-US"/>
        </w:rPr>
      </w:pPr>
    </w:p>
    <w:p w14:paraId="56E93FDC" w14:textId="77777777" w:rsidR="008D041B" w:rsidRDefault="0099442C" w:rsidP="00485EE6">
      <w:pPr>
        <w:pStyle w:val="Heading3"/>
        <w:numPr>
          <w:ilvl w:val="0"/>
          <w:numId w:val="0"/>
        </w:numPr>
        <w:ind w:left="993"/>
      </w:pPr>
      <w:bookmarkStart w:id="24" w:name="metrics"/>
      <w:bookmarkEnd w:id="23"/>
      <w:r>
        <w:t>Metrics</w:t>
      </w:r>
    </w:p>
    <w:p w14:paraId="4D43B68F" w14:textId="77777777" w:rsidR="008D041B" w:rsidRPr="00977AB2" w:rsidRDefault="0099442C">
      <w:pPr>
        <w:numPr>
          <w:ilvl w:val="0"/>
          <w:numId w:val="3"/>
        </w:numPr>
        <w:rPr>
          <w:lang w:val="en-US"/>
        </w:rPr>
      </w:pPr>
      <w:r w:rsidRPr="00977AB2">
        <w:rPr>
          <w:b/>
          <w:bCs/>
          <w:lang w:val="en-US"/>
        </w:rPr>
        <w:t>Population count preservation:</w:t>
      </w:r>
      <w:r w:rsidRPr="00977AB2">
        <w:rPr>
          <w:lang w:val="en-US"/>
        </w:rPr>
        <w:t xml:space="preserve"> absolute count difference and percentage difference between R-side GatingSet count and FlowJo-reported count after importing the exported v10 workspace.</w:t>
      </w:r>
    </w:p>
    <w:p w14:paraId="39BF6B69" w14:textId="77777777" w:rsidR="008D041B" w:rsidRPr="00977AB2" w:rsidRDefault="0099442C">
      <w:pPr>
        <w:numPr>
          <w:ilvl w:val="0"/>
          <w:numId w:val="3"/>
        </w:numPr>
        <w:rPr>
          <w:lang w:val="en-US"/>
        </w:rPr>
      </w:pPr>
      <w:r w:rsidRPr="00977AB2">
        <w:rPr>
          <w:b/>
          <w:bCs/>
          <w:lang w:val="en-US"/>
        </w:rPr>
        <w:t>Gate coordinate accuracy:</w:t>
      </w:r>
      <w:r w:rsidRPr="00977AB2">
        <w:rPr>
          <w:lang w:val="en-US"/>
        </w:rPr>
        <w:t xml:space="preserve"> mean and maximum deviation of gate boundary coordinates as a percentage of the axis range, computed by comparing coordinates in the exported v10 XML to the original gate definition.</w:t>
      </w:r>
    </w:p>
    <w:p w14:paraId="7F885E5A" w14:textId="77777777" w:rsidR="008D041B" w:rsidRPr="00977AB2" w:rsidRDefault="0099442C">
      <w:pPr>
        <w:numPr>
          <w:ilvl w:val="0"/>
          <w:numId w:val="3"/>
        </w:numPr>
        <w:rPr>
          <w:lang w:val="en-US"/>
        </w:rPr>
      </w:pPr>
      <w:r w:rsidRPr="00977AB2">
        <w:rPr>
          <w:b/>
          <w:bCs/>
          <w:lang w:val="en-US"/>
        </w:rPr>
        <w:t>Transformation fidelity:</w:t>
      </w:r>
      <w:r w:rsidRPr="00977AB2">
        <w:rPr>
          <w:lang w:val="en-US"/>
        </w:rPr>
        <w:t xml:space="preserve"> Kolmogorov–Smirnov D-statistic comparing the distribution of transformed values computed by flowCore and by FlowJo for identical parameter values and FCS files.</w:t>
      </w:r>
    </w:p>
    <w:p w14:paraId="2D98A047" w14:textId="77777777" w:rsidR="008D041B" w:rsidRPr="00977AB2" w:rsidRDefault="0099442C">
      <w:pPr>
        <w:numPr>
          <w:ilvl w:val="0"/>
          <w:numId w:val="3"/>
        </w:numPr>
        <w:rPr>
          <w:lang w:val="en-US"/>
        </w:rPr>
      </w:pPr>
      <w:r w:rsidRPr="00977AB2">
        <w:rPr>
          <w:b/>
          <w:bCs/>
          <w:lang w:val="en-US"/>
        </w:rPr>
        <w:t>Boolean gate accuracy:</w:t>
      </w:r>
      <w:r w:rsidRPr="00977AB2">
        <w:rPr>
          <w:lang w:val="en-US"/>
        </w:rPr>
        <w:t xml:space="preserve"> percentage agreement in per-cell membership for converted Boolean gates (AND, OR, NOT), computed by comparing R-side and FlowJo-side population counts.</w:t>
      </w:r>
    </w:p>
    <w:p w14:paraId="534987C1" w14:textId="77777777" w:rsidR="008D041B" w:rsidRDefault="0099442C" w:rsidP="00485EE6">
      <w:pPr>
        <w:pStyle w:val="Heading3"/>
        <w:numPr>
          <w:ilvl w:val="0"/>
          <w:numId w:val="0"/>
        </w:numPr>
        <w:ind w:left="993"/>
      </w:pPr>
      <w:bookmarkStart w:id="25" w:name="acceptance-criteria"/>
      <w:bookmarkEnd w:id="24"/>
      <w:r>
        <w:t>Acceptance criteria</w:t>
      </w:r>
    </w:p>
    <w:tbl>
      <w:tblPr>
        <w:tblW w:w="0" w:type="auto"/>
        <w:tblLook w:val="0020" w:firstRow="1" w:lastRow="0" w:firstColumn="0" w:lastColumn="0" w:noHBand="0" w:noVBand="0"/>
      </w:tblPr>
      <w:tblGrid>
        <w:gridCol w:w="3408"/>
        <w:gridCol w:w="3871"/>
      </w:tblGrid>
      <w:tr w:rsidR="008D041B" w14:paraId="3B3E648F" w14:textId="77777777">
        <w:trPr>
          <w:tblHeader/>
        </w:trPr>
        <w:tc>
          <w:tcPr>
            <w:tcW w:w="0" w:type="auto"/>
          </w:tcPr>
          <w:p w14:paraId="46E9C749" w14:textId="77777777" w:rsidR="008D041B" w:rsidRDefault="0099442C">
            <w:r>
              <w:t>Metric</w:t>
            </w:r>
          </w:p>
        </w:tc>
        <w:tc>
          <w:tcPr>
            <w:tcW w:w="0" w:type="auto"/>
          </w:tcPr>
          <w:p w14:paraId="118F2300" w14:textId="77777777" w:rsidR="008D041B" w:rsidRDefault="0099442C">
            <w:r>
              <w:t>Acceptance criterion</w:t>
            </w:r>
          </w:p>
        </w:tc>
      </w:tr>
      <w:tr w:rsidR="008D041B" w14:paraId="3795DFF7" w14:textId="77777777">
        <w:tc>
          <w:tcPr>
            <w:tcW w:w="0" w:type="auto"/>
          </w:tcPr>
          <w:p w14:paraId="63A48635" w14:textId="77777777" w:rsidR="008D041B" w:rsidRDefault="0099442C">
            <w:r>
              <w:t>Population count difference</w:t>
            </w:r>
          </w:p>
        </w:tc>
        <w:tc>
          <w:tcPr>
            <w:tcW w:w="0" w:type="auto"/>
          </w:tcPr>
          <w:p w14:paraId="39BD8B4D" w14:textId="77777777" w:rsidR="008D041B" w:rsidRDefault="0099442C">
            <w:r>
              <w:t>≤ 0.5% absolute</w:t>
            </w:r>
          </w:p>
        </w:tc>
      </w:tr>
      <w:tr w:rsidR="008D041B" w:rsidRPr="00DC234C" w14:paraId="396941F5" w14:textId="77777777">
        <w:tc>
          <w:tcPr>
            <w:tcW w:w="0" w:type="auto"/>
          </w:tcPr>
          <w:p w14:paraId="0BBDDC27" w14:textId="77777777" w:rsidR="008D041B" w:rsidRDefault="0099442C">
            <w:r>
              <w:t>Gate coordinate deviation</w:t>
            </w:r>
          </w:p>
        </w:tc>
        <w:tc>
          <w:tcPr>
            <w:tcW w:w="0" w:type="auto"/>
          </w:tcPr>
          <w:p w14:paraId="0DB37A58" w14:textId="77777777" w:rsidR="008D041B" w:rsidRPr="00977AB2" w:rsidRDefault="0099442C">
            <w:pPr>
              <w:rPr>
                <w:lang w:val="en-US"/>
              </w:rPr>
            </w:pPr>
            <w:r w:rsidRPr="00977AB2">
              <w:rPr>
                <w:lang w:val="en-US"/>
              </w:rPr>
              <w:t>≤ 0.1% of axis range (95th percentile)</w:t>
            </w:r>
          </w:p>
        </w:tc>
      </w:tr>
      <w:tr w:rsidR="008D041B" w14:paraId="32BAA8B1" w14:textId="77777777">
        <w:tc>
          <w:tcPr>
            <w:tcW w:w="0" w:type="auto"/>
          </w:tcPr>
          <w:p w14:paraId="1614327E" w14:textId="77777777" w:rsidR="008D041B" w:rsidRDefault="0099442C">
            <w:r>
              <w:t>KS D-statistic (transformations)</w:t>
            </w:r>
          </w:p>
        </w:tc>
        <w:tc>
          <w:tcPr>
            <w:tcW w:w="0" w:type="auto"/>
          </w:tcPr>
          <w:p w14:paraId="1FE1C120" w14:textId="77777777" w:rsidR="008D041B" w:rsidRDefault="0099442C">
            <w:r>
              <w:t>&lt; 0.05 for ≥ 95% of comparisons</w:t>
            </w:r>
          </w:p>
        </w:tc>
      </w:tr>
      <w:tr w:rsidR="008D041B" w14:paraId="29493A2D" w14:textId="77777777">
        <w:tc>
          <w:tcPr>
            <w:tcW w:w="0" w:type="auto"/>
          </w:tcPr>
          <w:p w14:paraId="3DE64D64" w14:textId="77777777" w:rsidR="008D041B" w:rsidRDefault="0099442C">
            <w:r>
              <w:t>Boolean membership agreement</w:t>
            </w:r>
          </w:p>
        </w:tc>
        <w:tc>
          <w:tcPr>
            <w:tcW w:w="0" w:type="auto"/>
          </w:tcPr>
          <w:p w14:paraId="4733CCEB" w14:textId="77777777" w:rsidR="008D041B" w:rsidRDefault="0099442C">
            <w:r>
              <w:t>100%</w:t>
            </w:r>
          </w:p>
        </w:tc>
      </w:tr>
      <w:bookmarkEnd w:id="11"/>
      <w:bookmarkEnd w:id="22"/>
      <w:bookmarkEnd w:id="25"/>
    </w:tbl>
    <w:p w14:paraId="79498BEA" w14:textId="77777777" w:rsidR="008D041B" w:rsidRDefault="008D041B"/>
    <w:sectPr w:rsidR="008D041B" w:rsidSect="00C9182A">
      <w:headerReference w:type="default" r:id="rId14"/>
      <w:footerReference w:type="default" r:id="rId15"/>
      <w:pgSz w:w="11906" w:h="16838"/>
      <w:pgMar w:top="1560"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897B79" w14:textId="77777777" w:rsidR="00DC1950" w:rsidRDefault="00DC1950">
      <w:r>
        <w:separator/>
      </w:r>
    </w:p>
  </w:endnote>
  <w:endnote w:type="continuationSeparator" w:id="0">
    <w:p w14:paraId="25C35B95" w14:textId="77777777" w:rsidR="00DC1950" w:rsidRDefault="00DC1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0FF6156B"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57764C">
                    <w:rPr>
                      <w:bCs/>
                      <w:noProof/>
                      <w:sz w:val="16"/>
                      <w:szCs w:val="24"/>
                    </w:rPr>
                    <w:t>6 juillet 2026</w:t>
                  </w:r>
                  <w:r w:rsidRPr="00C9182A">
                    <w:rPr>
                      <w:bCs/>
                      <w:sz w:val="16"/>
                      <w:szCs w:val="24"/>
                    </w:rPr>
                    <w:fldChar w:fldCharType="end"/>
                  </w:r>
                </w:p>
              </w:tc>
            </w:tr>
          </w:tbl>
          <w:p w14:paraId="6DB2C026" w14:textId="77777777" w:rsidR="000225EC" w:rsidRPr="00795C80" w:rsidRDefault="00000000"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538C4" w14:textId="77777777" w:rsidR="00DC1950" w:rsidRDefault="00DC1950">
      <w:r>
        <w:separator/>
      </w:r>
    </w:p>
  </w:footnote>
  <w:footnote w:type="continuationSeparator" w:id="0">
    <w:p w14:paraId="438498C5" w14:textId="77777777" w:rsidR="00DC1950" w:rsidRDefault="00DC1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Content>
                  <w:r w:rsidR="00990510" w:rsidRPr="00990510">
                    <w:rPr>
                      <w:b w:val="0"/>
                      <w:smallCaps w:val="0"/>
                    </w:rPr>
                    <w:t xml:space="preserve"> </w:t>
                  </w:r>
                  <w:sdt>
                    <w:sdtPr>
                      <w:rPr>
                        <w:b w:val="0"/>
                        <w:smallCaps w:val="0"/>
                      </w:rPr>
                      <w:alias w:val="Titre du document"/>
                      <w:tag w:val="Titre du document"/>
                      <w:id w:val="-1145736350"/>
                    </w:sdt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6670"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 w:numId="10" w16cid:durableId="371537287">
    <w:abstractNumId w:val="5"/>
    <w:lvlOverride w:ilvl="0">
      <w:startOverride w:val="3"/>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048C0"/>
    <w:rsid w:val="000225EC"/>
    <w:rsid w:val="000703BB"/>
    <w:rsid w:val="00085DE3"/>
    <w:rsid w:val="00086105"/>
    <w:rsid w:val="000913DE"/>
    <w:rsid w:val="00091FD4"/>
    <w:rsid w:val="000950D1"/>
    <w:rsid w:val="000977EA"/>
    <w:rsid w:val="000A3638"/>
    <w:rsid w:val="000A4ADE"/>
    <w:rsid w:val="000C2A9A"/>
    <w:rsid w:val="000C7AFF"/>
    <w:rsid w:val="001022C6"/>
    <w:rsid w:val="001133F8"/>
    <w:rsid w:val="00130703"/>
    <w:rsid w:val="0013453D"/>
    <w:rsid w:val="00135677"/>
    <w:rsid w:val="00172367"/>
    <w:rsid w:val="00175C38"/>
    <w:rsid w:val="001B47E7"/>
    <w:rsid w:val="001F2645"/>
    <w:rsid w:val="001F4201"/>
    <w:rsid w:val="00206FCD"/>
    <w:rsid w:val="00225E03"/>
    <w:rsid w:val="002533BF"/>
    <w:rsid w:val="002548BC"/>
    <w:rsid w:val="00255DEF"/>
    <w:rsid w:val="002568EF"/>
    <w:rsid w:val="002720EA"/>
    <w:rsid w:val="002721D8"/>
    <w:rsid w:val="002774F6"/>
    <w:rsid w:val="00282A4E"/>
    <w:rsid w:val="00285D3E"/>
    <w:rsid w:val="002A50CC"/>
    <w:rsid w:val="002C37D2"/>
    <w:rsid w:val="002D16BD"/>
    <w:rsid w:val="002E352B"/>
    <w:rsid w:val="002E5ED2"/>
    <w:rsid w:val="00331BE8"/>
    <w:rsid w:val="003623ED"/>
    <w:rsid w:val="003736AA"/>
    <w:rsid w:val="00374CCF"/>
    <w:rsid w:val="00386189"/>
    <w:rsid w:val="003A59CD"/>
    <w:rsid w:val="003B566E"/>
    <w:rsid w:val="003C2EC0"/>
    <w:rsid w:val="003F39C1"/>
    <w:rsid w:val="003F644E"/>
    <w:rsid w:val="00403210"/>
    <w:rsid w:val="00414760"/>
    <w:rsid w:val="00431A34"/>
    <w:rsid w:val="00440459"/>
    <w:rsid w:val="00447598"/>
    <w:rsid w:val="00450D6C"/>
    <w:rsid w:val="00482E5F"/>
    <w:rsid w:val="00485EE6"/>
    <w:rsid w:val="00487962"/>
    <w:rsid w:val="004C2B52"/>
    <w:rsid w:val="004D0A6B"/>
    <w:rsid w:val="004F37A3"/>
    <w:rsid w:val="00513B4B"/>
    <w:rsid w:val="005320D4"/>
    <w:rsid w:val="0057764C"/>
    <w:rsid w:val="0058437D"/>
    <w:rsid w:val="005D3FA4"/>
    <w:rsid w:val="00612471"/>
    <w:rsid w:val="00617F32"/>
    <w:rsid w:val="0064337E"/>
    <w:rsid w:val="006468E6"/>
    <w:rsid w:val="00684CBC"/>
    <w:rsid w:val="0068569D"/>
    <w:rsid w:val="006A334F"/>
    <w:rsid w:val="006B2388"/>
    <w:rsid w:val="006E6097"/>
    <w:rsid w:val="007128D5"/>
    <w:rsid w:val="00744000"/>
    <w:rsid w:val="007515B7"/>
    <w:rsid w:val="00771587"/>
    <w:rsid w:val="00793398"/>
    <w:rsid w:val="00795C80"/>
    <w:rsid w:val="007A021B"/>
    <w:rsid w:val="007D7B00"/>
    <w:rsid w:val="007E109E"/>
    <w:rsid w:val="0080169A"/>
    <w:rsid w:val="008145A8"/>
    <w:rsid w:val="0081532D"/>
    <w:rsid w:val="0082567A"/>
    <w:rsid w:val="008349E0"/>
    <w:rsid w:val="0084592F"/>
    <w:rsid w:val="00856340"/>
    <w:rsid w:val="0088561F"/>
    <w:rsid w:val="008924F5"/>
    <w:rsid w:val="008B0107"/>
    <w:rsid w:val="008D041B"/>
    <w:rsid w:val="008D4A9E"/>
    <w:rsid w:val="008D52FF"/>
    <w:rsid w:val="008E7EA5"/>
    <w:rsid w:val="00903508"/>
    <w:rsid w:val="00905884"/>
    <w:rsid w:val="00922B8F"/>
    <w:rsid w:val="0092728B"/>
    <w:rsid w:val="0096507C"/>
    <w:rsid w:val="00974114"/>
    <w:rsid w:val="00977AB2"/>
    <w:rsid w:val="00981FA9"/>
    <w:rsid w:val="00990510"/>
    <w:rsid w:val="0099442C"/>
    <w:rsid w:val="009F1828"/>
    <w:rsid w:val="009F3EF7"/>
    <w:rsid w:val="00A111BB"/>
    <w:rsid w:val="00A4189D"/>
    <w:rsid w:val="00A4531F"/>
    <w:rsid w:val="00A51DD5"/>
    <w:rsid w:val="00A6402D"/>
    <w:rsid w:val="00A87738"/>
    <w:rsid w:val="00AE234B"/>
    <w:rsid w:val="00B5719F"/>
    <w:rsid w:val="00B86188"/>
    <w:rsid w:val="00B91921"/>
    <w:rsid w:val="00C035D4"/>
    <w:rsid w:val="00C04EB6"/>
    <w:rsid w:val="00C22ECE"/>
    <w:rsid w:val="00C23E78"/>
    <w:rsid w:val="00C31C4E"/>
    <w:rsid w:val="00C4636F"/>
    <w:rsid w:val="00C54088"/>
    <w:rsid w:val="00C55E15"/>
    <w:rsid w:val="00C73274"/>
    <w:rsid w:val="00C73DAC"/>
    <w:rsid w:val="00C9182A"/>
    <w:rsid w:val="00CB02D7"/>
    <w:rsid w:val="00CC6725"/>
    <w:rsid w:val="00CE256F"/>
    <w:rsid w:val="00D5007F"/>
    <w:rsid w:val="00D86B93"/>
    <w:rsid w:val="00D87485"/>
    <w:rsid w:val="00DC1950"/>
    <w:rsid w:val="00DC234C"/>
    <w:rsid w:val="00DE6AFD"/>
    <w:rsid w:val="00DE7127"/>
    <w:rsid w:val="00DF138E"/>
    <w:rsid w:val="00E63467"/>
    <w:rsid w:val="00E7239E"/>
    <w:rsid w:val="00EA352E"/>
    <w:rsid w:val="00EA371C"/>
    <w:rsid w:val="00EA6799"/>
    <w:rsid w:val="00EB1A95"/>
    <w:rsid w:val="00EC0874"/>
    <w:rsid w:val="00EC7061"/>
    <w:rsid w:val="00ED3A9B"/>
    <w:rsid w:val="00EE30F6"/>
    <w:rsid w:val="00EE4D0B"/>
    <w:rsid w:val="00EE616C"/>
    <w:rsid w:val="00F065AE"/>
    <w:rsid w:val="00F41079"/>
    <w:rsid w:val="00F53A52"/>
    <w:rsid w:val="00F61262"/>
    <w:rsid w:val="00F729C2"/>
    <w:rsid w:val="00F76551"/>
    <w:rsid w:val="00F809C8"/>
    <w:rsid w:val="00F81A23"/>
    <w:rsid w:val="00F83312"/>
    <w:rsid w:val="00F85B63"/>
    <w:rsid w:val="00FB7A12"/>
    <w:rsid w:val="00FC6C0F"/>
    <w:rsid w:val="00FD4141"/>
    <w:rsid w:val="00FE4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CE7A9"/>
  <w15:docId w15:val="{74E1FC07-CF39-A04E-8A60-02AE95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07"/>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1">
    <w:name w:val="Title1"/>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 w:type="paragraph" w:styleId="Bibliography">
    <w:name w:val="Bibliography"/>
    <w:basedOn w:val="Normal"/>
    <w:next w:val="Normal"/>
    <w:uiPriority w:val="37"/>
    <w:unhideWhenUsed/>
    <w:rsid w:val="00E63467"/>
    <w:pPr>
      <w:tabs>
        <w:tab w:val="left" w:pos="260"/>
      </w:tabs>
      <w:spacing w:after="240"/>
      <w:ind w:left="264" w:hanging="264"/>
    </w:pPr>
  </w:style>
  <w:style w:type="table" w:styleId="TableGridLight">
    <w:name w:val="Grid Table Light"/>
    <w:basedOn w:val="TableNormal"/>
    <w:uiPriority w:val="40"/>
    <w:rsid w:val="000A4A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4A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A4AD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091FD4"/>
    <w:rPr>
      <w:sz w:val="16"/>
      <w:szCs w:val="16"/>
    </w:rPr>
  </w:style>
  <w:style w:type="paragraph" w:styleId="CommentText">
    <w:name w:val="annotation text"/>
    <w:basedOn w:val="Normal"/>
    <w:link w:val="CommentTextChar"/>
    <w:uiPriority w:val="99"/>
    <w:semiHidden/>
    <w:unhideWhenUsed/>
    <w:rsid w:val="00091FD4"/>
    <w:rPr>
      <w:sz w:val="20"/>
    </w:rPr>
  </w:style>
  <w:style w:type="character" w:customStyle="1" w:styleId="CommentTextChar">
    <w:name w:val="Comment Text Char"/>
    <w:basedOn w:val="DefaultParagraphFont"/>
    <w:link w:val="CommentText"/>
    <w:uiPriority w:val="99"/>
    <w:semiHidden/>
    <w:rsid w:val="00091FD4"/>
    <w:rPr>
      <w:rFonts w:ascii="Arial" w:eastAsia="Times New Roman" w:hAnsi="Arial"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091FD4"/>
    <w:rPr>
      <w:b/>
      <w:bCs/>
    </w:rPr>
  </w:style>
  <w:style w:type="character" w:customStyle="1" w:styleId="CommentSubjectChar">
    <w:name w:val="Comment Subject Char"/>
    <w:basedOn w:val="CommentTextChar"/>
    <w:link w:val="CommentSubject"/>
    <w:uiPriority w:val="99"/>
    <w:semiHidden/>
    <w:rsid w:val="00091FD4"/>
    <w:rPr>
      <w:rFonts w:ascii="Arial" w:eastAsia="Times New Roman" w:hAnsi="Arial"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obodan.culina@pasteur.fr" TargetMode="External"/><Relationship Id="rId13" Type="http://schemas.openxmlformats.org/officeDocument/2006/relationships/hyperlink" Target="https://doi.org/10.5281/zenodo.20933199" TargetMode="External"/><Relationship Id="rId3" Type="http://schemas.openxmlformats.org/officeDocument/2006/relationships/settings" Target="settings.xml"/><Relationship Id="rId7" Type="http://schemas.openxmlformats.org/officeDocument/2006/relationships/hyperlink" Target="mailto:bernd.jagla@pasteur.fr"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lena.hasan@pasteur.f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esma.karkeni@pasteur.fr" TargetMode="External"/><Relationship Id="rId4" Type="http://schemas.openxmlformats.org/officeDocument/2006/relationships/webSettings" Target="webSettings.xml"/><Relationship Id="rId9" Type="http://schemas.openxmlformats.org/officeDocument/2006/relationships/hyperlink" Target="mailto:francois.le-guerroue@pasteur.fr"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18</Pages>
  <Words>8151</Words>
  <Characters>46466</Characters>
  <Application>Microsoft Office Word</Application>
  <DocSecurity>0</DocSecurity>
  <Lines>387</Lines>
  <Paragraphs>109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CyFj11: FlowJo v11 Workspace Import and Legacy Format Export for R-Based Flow Cytometry Analysis</vt:lpstr>
      <vt:lpstr/>
    </vt:vector>
  </TitlesOfParts>
  <Company>Institut Pasteur</Company>
  <LinksUpToDate>false</LinksUpToDate>
  <CharactersWithSpaces>54508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subject/>
  <dc:creator>Bernd  JAGLA</dc:creator>
  <cp:keywords/>
  <dc:description/>
  <cp:lastModifiedBy>Bernd  JAGLA</cp:lastModifiedBy>
  <cp:revision>3</cp:revision>
  <cp:lastPrinted>2026-05-22T09:24:00Z</cp:lastPrinted>
  <dcterms:created xsi:type="dcterms:W3CDTF">2026-07-06T06:52:00Z</dcterms:created>
  <dcterms:modified xsi:type="dcterms:W3CDTF">2026-07-06T10:12:00Z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y fmtid="{D5CDD505-2E9C-101B-9397-08002B2CF9AE}" pid="9" name="ZOTERO_PREF_1">
    <vt:lpwstr>&lt;data data-version="3" zotero-version="7.0.11"&gt;&lt;session id="n9fRpqlb"/&gt;&lt;style id="http://www.zotero.org/styles/nlm-citation-sequence" locale="en-US" hasBibliography="1" bibliographyStyleHasBeenSet="1"/&gt;&lt;prefs&gt;&lt;pref name="fieldType" value="Field"/&gt;&lt;/prefs&gt;</vt:lpwstr>
  </property>
  <property fmtid="{D5CDD505-2E9C-101B-9397-08002B2CF9AE}" pid="10" name="ZOTERO_PREF_2">
    <vt:lpwstr>&lt;/data&gt;</vt:lpwstr>
  </property>
</Properties>
</file>