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jpeg" ContentType="image/jpe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28"/>
          <w:szCs w:val="28"/>
        </w:rPr>
      </w:pPr>
      <w:r>
        <w:rPr>
          <w:rFonts w:cs="Times New Roman" w:ascii="Times New Roman" w:hAnsi="Times New Roman"/>
          <w:sz w:val="32"/>
        </w:rPr>
        <w:t>Metodika sledování stavu EVL: typy přírodních stanovišť</w:t>
      </w:r>
    </w:p>
    <w:p>
      <w:pPr>
        <w:pStyle w:val="Normal"/>
        <w:rPr>
          <w:rFonts w:ascii="Times New Roman" w:hAnsi="Times New Roman"/>
        </w:rPr>
      </w:pPr>
      <w:r>
        <w:rPr>
          <w:rFonts w:ascii="Times New Roman" w:hAnsi="Times New Roman"/>
        </w:rPr>
        <w:t>Autoři: Jonáš Gaigr, Martin Vojík</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Metodika vychází z práce Kučery a kol. (2016)</w:t>
      </w:r>
      <w:r>
        <w:rPr>
          <w:rStyle w:val="FootnoteAnchor"/>
          <w:rFonts w:ascii="Times New Roman" w:hAnsi="Times New Roman"/>
        </w:rPr>
        <w:footnoteReference w:id="2"/>
      </w:r>
      <w:r>
        <w:rPr>
          <w:rFonts w:ascii="Times New Roman" w:hAnsi="Times New Roman"/>
        </w:rPr>
        <w:t>, která byla revidována za účelem optimalizace interního využití AOPK ČR. Mnohé části byly z metodiky přejaty a využity pro účely obecného úvodu pro sledování stavu.</w:t>
      </w:r>
    </w:p>
    <w:p>
      <w:pPr>
        <w:pStyle w:val="Normal"/>
        <w:jc w:val="both"/>
        <w:rPr>
          <w:rFonts w:ascii="Times New Roman" w:hAnsi="Times New Roman"/>
          <w:sz w:val="24"/>
          <w:szCs w:val="24"/>
        </w:rPr>
      </w:pPr>
      <w:r>
        <w:rPr>
          <w:rFonts w:ascii="Times New Roman" w:hAnsi="Times New Roman"/>
          <w:sz w:val="24"/>
        </w:rPr>
        <w:t xml:space="preserve">Metodika se týká těch typů přírodních stanovišť, které jsou předmětem ochrany v EVL a jsou formované a indikované vyššími cévnatými rostlinami. Tato metodika se nevztahuje na </w:t>
      </w:r>
      <w:r>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pPr>
        <w:pStyle w:val="Normal"/>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pPr>
        <w:pStyle w:val="Normal"/>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pPr>
        <w:pStyle w:val="Normal"/>
        <w:spacing w:lineRule="auto" w:line="240" w:before="120" w:after="0"/>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pPr>
        <w:pStyle w:val="Normal"/>
        <w:spacing w:lineRule="auto" w:line="240" w:before="120" w:after="0"/>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w:t>
      </w:r>
      <w:ins w:id="0" w:author="Martin Vojík" w:date="2024-09-04T13:14:00Z">
        <w:r>
          <w:rPr>
            <w:rFonts w:ascii="Times New Roman" w:hAnsi="Times New Roman"/>
          </w:rPr>
          <w:t xml:space="preserve"> (Lustyk 2024a)</w:t>
        </w:r>
      </w:ins>
      <w:del w:id="1" w:author="Martin Vojík" w:date="2024-09-04T13:14:00Z">
        <w:r>
          <w:rPr>
            <w:rStyle w:val="FootnoteAnchor"/>
            <w:rFonts w:ascii="Times New Roman" w:hAnsi="Times New Roman"/>
          </w:rPr>
          <w:footnoteReference w:id="3"/>
        </w:r>
      </w:del>
    </w:p>
    <w:p>
      <w:pPr>
        <w:pStyle w:val="Normal"/>
        <w:spacing w:lineRule="auto" w:line="240" w:before="120" w:after="0"/>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w:t>
      </w:r>
      <w:ins w:id="2" w:author="Martin Vojík" w:date="2024-09-04T13:14:00Z">
        <w:r>
          <w:rPr>
            <w:rFonts w:ascii="Times New Roman" w:hAnsi="Times New Roman"/>
          </w:rPr>
          <w:t xml:space="preserve"> (Chytrý a kol. 2010)</w:t>
        </w:r>
      </w:ins>
      <w:del w:id="3" w:author="Martin Vojík" w:date="2024-09-04T13:14:00Z">
        <w:r>
          <w:rPr>
            <w:rStyle w:val="FootnoteAnchor"/>
            <w:rFonts w:ascii="Times New Roman" w:hAnsi="Times New Roman"/>
          </w:rPr>
          <w:footnoteReference w:id="4"/>
        </w:r>
      </w:del>
      <w:r>
        <w:rPr>
          <w:rFonts w:ascii="Times New Roman" w:hAnsi="Times New Roman"/>
        </w:rPr>
        <w:t>, jeden či více biotopů tvoří tzv. typ přírodního stanoviště, zkráceně stanoviště (anglicky habitat) podle Přílohy 1 Směrnice 92/43/EHS o ochraně přírodních stanovišť, volně žijících živočichů a planě rostoucích rostlin.</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pPr>
        <w:pStyle w:val="Normal"/>
        <w:spacing w:lineRule="auto" w:line="240" w:before="120" w:after="0"/>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pPr>
        <w:pStyle w:val="Normal"/>
        <w:spacing w:lineRule="auto" w:line="240" w:before="120" w:after="0"/>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w:t>
      </w:r>
      <w:ins w:id="4" w:author="Martin Vojík" w:date="2024-09-04T11:53:00Z">
        <w:r>
          <w:rPr>
            <w:rFonts w:ascii="Times New Roman" w:hAnsi="Times New Roman"/>
          </w:rPr>
          <w:t>,</w:t>
        </w:r>
      </w:ins>
      <w:r>
        <w:rPr>
          <w:rFonts w:ascii="Times New Roman" w:hAnsi="Times New Roman"/>
        </w:rPr>
        <w:t xml:space="preserve"> jejíž překroč</w:t>
      </w:r>
      <w:ins w:id="5" w:author="Martin Vojík" w:date="2024-09-04T11:54:00Z">
        <w:r>
          <w:rPr>
            <w:rFonts w:ascii="Times New Roman" w:hAnsi="Times New Roman"/>
          </w:rPr>
          <w:t>e</w:t>
        </w:r>
      </w:ins>
      <w:r>
        <w:rPr>
          <w:rFonts w:ascii="Times New Roman" w:hAnsi="Times New Roman"/>
        </w:rPr>
        <w:t xml:space="preserve">ní indikuje významné zhoršení stavu předmětu ochrany, a tedy klasifikaci stavu předmětu ochrany </w:t>
      </w:r>
      <w:ins w:id="6" w:author="Martin Vojík" w:date="2024-09-04T11:54:00Z">
        <w:r>
          <w:rPr>
            <w:rFonts w:ascii="Times New Roman" w:hAnsi="Times New Roman"/>
          </w:rPr>
          <w:t xml:space="preserve">jako </w:t>
        </w:r>
      </w:ins>
      <w:r>
        <w:rPr>
          <w:rFonts w:ascii="Times New Roman" w:hAnsi="Times New Roman"/>
        </w:rPr>
        <w:t>„špatný“.</w:t>
      </w:r>
    </w:p>
    <w:p>
      <w:pPr>
        <w:pStyle w:val="Normal"/>
        <w:spacing w:lineRule="auto" w:line="240" w:before="120" w:after="0"/>
        <w:jc w:val="both"/>
        <w:rPr>
          <w:rFonts w:ascii="Times New Roman" w:hAnsi="Times New Roman"/>
        </w:rPr>
      </w:pPr>
      <w:r>
        <w:rPr>
          <w:rFonts w:ascii="Times New Roman" w:hAnsi="Times New Roman"/>
          <w:b/>
        </w:rPr>
        <w:t>PHB</w:t>
      </w:r>
      <w:r>
        <w:rPr>
          <w:rFonts w:ascii="Times New Roman" w:hAnsi="Times New Roman"/>
        </w:rPr>
        <w:t xml:space="preserve"> - Příručka hodnocení biotopů</w:t>
      </w:r>
      <w:ins w:id="7" w:author="Martin Vojík" w:date="2024-09-04T13:15:00Z">
        <w:r>
          <w:rPr>
            <w:rFonts w:ascii="Times New Roman" w:hAnsi="Times New Roman"/>
          </w:rPr>
          <w:t xml:space="preserve"> (Lustyk 2024b)</w:t>
        </w:r>
      </w:ins>
      <w:del w:id="8" w:author="Martin Vojík" w:date="2024-09-04T13:15:00Z">
        <w:r>
          <w:rPr>
            <w:rStyle w:val="FootnoteAnchor"/>
            <w:rFonts w:ascii="Times New Roman" w:hAnsi="Times New Roman"/>
          </w:rPr>
          <w:footnoteReference w:id="5"/>
        </w:r>
      </w:del>
    </w:p>
    <w:p>
      <w:pPr>
        <w:pStyle w:val="Normal"/>
        <w:spacing w:lineRule="auto" w:line="240" w:before="120" w:after="0"/>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k určení, uplatňuje-li se požadavek splnění minimálního areálu pro hodnocení stavu předmětu ochrany pro daný biotop.</w:t>
      </w:r>
    </w:p>
    <w:p>
      <w:pPr>
        <w:pStyle w:val="Normal"/>
        <w:spacing w:lineRule="auto" w:line="240" w:before="120" w:after="0"/>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pPr>
        <w:pStyle w:val="Normal"/>
        <w:spacing w:lineRule="auto" w:line="240" w:before="120" w:after="0"/>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pPr>
        <w:pStyle w:val="Normal"/>
        <w:spacing w:lineRule="auto" w:line="240" w:before="120" w:after="0"/>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dobrý, zhoršený, špatný, neznámý. Vztahuje se k hodnoceným charakteristikám (např. k rozloze a kvalitě stanoviště) a vývoji těchto charakteristik v čase – trendům.</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 je trend označován jako negativní, dochází-li ke zlepšování, je trend označován jako pozitivní. Trend je součástí hodnocení stavu předmětu ochrany za více hodnotících období.</w:t>
      </w:r>
    </w:p>
    <w:p>
      <w:pPr>
        <w:pStyle w:val="Normal"/>
        <w:rPr>
          <w:rFonts w:ascii="Times New Roman" w:hAnsi="Times New Roman"/>
          <w:sz w:val="24"/>
        </w:rPr>
      </w:pPr>
      <w:r>
        <w:rPr>
          <w:rFonts w:ascii="Times New Roman" w:hAnsi="Times New Roman"/>
          <w:sz w:val="24"/>
        </w:rPr>
      </w:r>
    </w:p>
    <w:p>
      <w:pPr>
        <w:pStyle w:val="Normal"/>
        <w:numPr>
          <w:ilvl w:val="0"/>
          <w:numId w:val="4"/>
        </w:numPr>
        <w:spacing w:lineRule="auto" w:line="276" w:before="0" w:after="0"/>
        <w:ind w:left="272" w:hanging="272"/>
        <w:rPr>
          <w:rFonts w:ascii="Times New Roman" w:hAnsi="Times New Roman"/>
          <w:b/>
          <w:b/>
          <w:sz w:val="24"/>
          <w:szCs w:val="24"/>
        </w:rPr>
      </w:pPr>
      <w:r>
        <w:rPr>
          <w:rFonts w:ascii="Times New Roman" w:hAnsi="Times New Roman"/>
          <w:b/>
          <w:sz w:val="24"/>
          <w:szCs w:val="24"/>
        </w:rPr>
        <w:t>Cíl sledování a metodika</w:t>
      </w:r>
    </w:p>
    <w:p>
      <w:pPr>
        <w:pStyle w:val="Normal"/>
        <w:spacing w:before="0"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pPr>
        <w:pStyle w:val="Nadpis1"/>
        <w:rPr/>
      </w:pPr>
      <w:r>
        <w:rPr/>
      </w:r>
    </w:p>
    <w:p>
      <w:pPr>
        <w:pStyle w:val="Nadpis1"/>
        <w:rPr/>
      </w:pPr>
      <w:r>
        <w:rPr/>
        <w:t>2. Výběr reprezentativních ploch pro monitoring předmětu ochrany v EVL</w:t>
      </w:r>
    </w:p>
    <w:p>
      <w:pPr>
        <w:pStyle w:val="Normal"/>
        <w:spacing w:before="0"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pPr>
        <w:pStyle w:val="Nadpis2"/>
        <w:rPr>
          <w:b/>
          <w:b/>
          <w:i w:val="false"/>
          <w:i w:val="false"/>
        </w:rPr>
      </w:pPr>
      <w:r>
        <w:rPr>
          <w:b/>
          <w:i w:val="false"/>
        </w:rPr>
      </w:r>
    </w:p>
    <w:p>
      <w:pPr>
        <w:pStyle w:val="Nadpis2"/>
        <w:rPr>
          <w:b/>
          <w:b/>
          <w:i w:val="false"/>
          <w:i w:val="false"/>
        </w:rPr>
      </w:pPr>
      <w:r>
        <w:rPr>
          <w:b/>
          <w:i w:val="false"/>
        </w:rPr>
        <w:t>3. Terénní metodika</w:t>
      </w:r>
    </w:p>
    <w:p>
      <w:pPr>
        <w:pStyle w:val="Normal"/>
        <w:jc w:val="both"/>
        <w:rPr>
          <w:rFonts w:ascii="Times New Roman" w:hAnsi="Times New Roman"/>
          <w:sz w:val="24"/>
        </w:rPr>
      </w:pPr>
      <w:r>
        <w:rPr>
          <w:rFonts w:ascii="Times New Roman" w:hAnsi="Times New Roman"/>
          <w:sz w:val="24"/>
        </w:rPr>
        <w:t>Metodika sledování stavu předmětů ochrany vychází z terénních dat pořízených při aktualizacích vrstvy mapování biotopů (aVMB k roku 2022). Podrobný postup sběru dat v terénu, jakož i specifika mapování v různých formačních skupinách jsou popsány (a) v Metodice 2. vlny aktualizace vrstvy mapování biotopů (Lustyk 202</w:t>
      </w:r>
      <w:ins w:id="9" w:author="Martin Vojík" w:date="2024-09-04T12:25:00Z">
        <w:r>
          <w:rPr>
            <w:rFonts w:ascii="Times New Roman" w:hAnsi="Times New Roman"/>
            <w:sz w:val="24"/>
          </w:rPr>
          <w:t>4</w:t>
        </w:r>
      </w:ins>
      <w:ins w:id="10" w:author="Martin Vojík" w:date="2024-09-04T12:58:00Z">
        <w:r>
          <w:rPr>
            <w:rFonts w:ascii="Times New Roman" w:hAnsi="Times New Roman"/>
            <w:sz w:val="24"/>
          </w:rPr>
          <w:t>a</w:t>
        </w:r>
      </w:ins>
      <w:del w:id="11" w:author="Martin Vojík" w:date="2024-09-04T12:25:00Z">
        <w:r>
          <w:rPr>
            <w:rFonts w:ascii="Times New Roman" w:hAnsi="Times New Roman"/>
            <w:sz w:val="24"/>
          </w:rPr>
          <w:delText>0</w:delText>
        </w:r>
      </w:del>
      <w:r>
        <w:rPr>
          <w:rStyle w:val="FootnoteAnchor"/>
          <w:rFonts w:ascii="Times New Roman" w:hAnsi="Times New Roman"/>
          <w:sz w:val="24"/>
        </w:rPr>
        <w:footnoteReference w:id="6"/>
      </w:r>
      <w:r>
        <w:rPr>
          <w:rFonts w:ascii="Times New Roman" w:hAnsi="Times New Roman"/>
          <w:sz w:val="24"/>
        </w:rPr>
        <w:t>) a (b) v Příručce hodnocení biotopů (Lustyk 20</w:t>
      </w:r>
      <w:ins w:id="12" w:author="Martin Vojík" w:date="2024-09-04T12:25:00Z">
        <w:r>
          <w:rPr>
            <w:rFonts w:ascii="Times New Roman" w:hAnsi="Times New Roman"/>
            <w:sz w:val="24"/>
          </w:rPr>
          <w:t>24</w:t>
        </w:r>
      </w:ins>
      <w:ins w:id="13" w:author="Martin Vojík" w:date="2024-09-04T12:58:00Z">
        <w:r>
          <w:rPr>
            <w:rFonts w:ascii="Times New Roman" w:hAnsi="Times New Roman"/>
            <w:sz w:val="24"/>
          </w:rPr>
          <w:t>b</w:t>
        </w:r>
      </w:ins>
      <w:del w:id="14" w:author="Martin Vojík" w:date="2024-09-04T12:25:00Z">
        <w:r>
          <w:rPr>
            <w:rFonts w:ascii="Times New Roman" w:hAnsi="Times New Roman"/>
            <w:sz w:val="24"/>
          </w:rPr>
          <w:delText>15</w:delText>
        </w:r>
      </w:del>
      <w:r>
        <w:rPr>
          <w:rFonts w:ascii="Times New Roman" w:hAnsi="Times New Roman"/>
          <w:sz w:val="24"/>
        </w:rPr>
        <w:t xml:space="preserve">, dále </w:t>
      </w:r>
      <w:del w:id="15" w:author="Martin Vojík" w:date="2024-09-04T12:23:00Z">
        <w:r>
          <w:rPr>
            <w:rFonts w:ascii="Times New Roman" w:hAnsi="Times New Roman"/>
            <w:sz w:val="24"/>
          </w:rPr>
          <w:delText xml:space="preserve">také </w:delText>
        </w:r>
      </w:del>
      <w:r>
        <w:rPr>
          <w:rFonts w:ascii="Times New Roman" w:hAnsi="Times New Roman"/>
          <w:sz w:val="24"/>
        </w:rPr>
        <w:t xml:space="preserve">jen PHB). </w:t>
      </w:r>
    </w:p>
    <w:p>
      <w:pPr>
        <w:pStyle w:val="Normal"/>
        <w:jc w:val="both"/>
        <w:rPr>
          <w:rFonts w:ascii="Times New Roman" w:hAnsi="Times New Roman"/>
          <w:sz w:val="24"/>
        </w:rPr>
      </w:pPr>
      <w:r>
        <w:rPr>
          <w:rFonts w:ascii="Times New Roman" w:hAnsi="Times New Roman"/>
          <w:sz w:val="24"/>
        </w:rPr>
        <w:t xml:space="preserve">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pPr>
        <w:pStyle w:val="Normal"/>
        <w:spacing w:before="0" w:after="0"/>
        <w:jc w:val="both"/>
        <w:rPr>
          <w:rFonts w:ascii="Times New Roman" w:hAnsi="Times New Roman"/>
        </w:rPr>
      </w:pPr>
      <w:r>
        <w:rPr>
          <w:rFonts w:ascii="Times New Roman" w:hAnsi="Times New Roman"/>
        </w:rPr>
      </w:r>
    </w:p>
    <w:p>
      <w:pPr>
        <w:pStyle w:val="Normal"/>
        <w:spacing w:before="0" w:after="0"/>
        <w:jc w:val="both"/>
        <w:rPr>
          <w:rFonts w:ascii="Times New Roman" w:hAnsi="Times New Roman"/>
          <w:b/>
          <w:b/>
          <w:sz w:val="24"/>
          <w:szCs w:val="24"/>
        </w:rPr>
      </w:pPr>
      <w:r>
        <w:rPr>
          <w:rFonts w:ascii="Times New Roman" w:hAnsi="Times New Roman"/>
          <w:b/>
          <w:sz w:val="24"/>
          <w:szCs w:val="24"/>
        </w:rPr>
        <w:t>4. Klíčové sledované parametry pro hodnocení stavu a indikátory jeho vývoje</w:t>
      </w:r>
    </w:p>
    <w:p>
      <w:pPr>
        <w:pStyle w:val="Annotationtext"/>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pPr>
        <w:pStyle w:val="Annotationtext"/>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pPr>
        <w:pStyle w:val="ListParagraph"/>
        <w:numPr>
          <w:ilvl w:val="0"/>
          <w:numId w:val="3"/>
        </w:numPr>
        <w:spacing w:before="0" w:after="200"/>
        <w:contextualSpacing/>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16" w:author="Martin Vojík" w:date="2024-09-04T13:17:00Z">
        <w:r>
          <w:rPr>
            <w:rFonts w:ascii="Times New Roman" w:hAnsi="Times New Roman"/>
            <w:sz w:val="20"/>
          </w:rPr>
          <w:t xml:space="preserve"> (Sogaard</w:t>
        </w:r>
      </w:ins>
      <w:ins w:id="17" w:author="Martin Vojík" w:date="2024-09-04T13:17:00Z">
        <w:r>
          <w:rPr>
            <w:rStyle w:val="FootnoteCharacters"/>
            <w:rFonts w:ascii="Times New Roman" w:hAnsi="Times New Roman"/>
            <w:position w:val="0"/>
            <w:sz w:val="20"/>
            <w:sz w:val="20"/>
            <w:vertAlign w:val="baseline"/>
          </w:rPr>
          <w:t xml:space="preserve"> a kol. 2007)</w:t>
        </w:r>
      </w:ins>
      <w:del w:id="18" w:author="Martin Vojík" w:date="2024-09-04T13:17:00Z">
        <w:r>
          <w:rPr>
            <w:rStyle w:val="FootnoteAnchor"/>
            <w:rFonts w:ascii="Times New Roman" w:hAnsi="Times New Roman"/>
            <w:sz w:val="20"/>
          </w:rPr>
          <w:footnoteReference w:id="7"/>
        </w:r>
      </w:del>
      <w:r>
        <w:rPr>
          <w:rFonts w:ascii="Times New Roman" w:hAnsi="Times New Roman"/>
          <w:sz w:val="20"/>
        </w:rPr>
        <w:t xml:space="preserve">. </w:t>
      </w:r>
      <w:commentRangeStart w:id="0"/>
      <w:commentRangeStart w:id="1"/>
      <w:r>
        <w:rPr>
          <w:rFonts w:ascii="Times New Roman" w:hAnsi="Times New Roman"/>
          <w:sz w:val="20"/>
        </w:rPr>
        <w:t>Pro účely hodnocení stavu v ČR byly excerpovány červený seznam rostlin (stav 2001)</w:t>
      </w:r>
      <w:r>
        <w:rPr>
          <w:rStyle w:val="FootnoteAnchor"/>
          <w:rFonts w:ascii="Times New Roman" w:hAnsi="Times New Roman"/>
          <w:sz w:val="20"/>
        </w:rPr>
        <w:footnoteReference w:id="8"/>
      </w:r>
      <w:r>
        <w:rPr>
          <w:rFonts w:ascii="Times New Roman" w:hAnsi="Times New Roman"/>
          <w:sz w:val="20"/>
        </w:rPr>
        <w:t xml:space="preserve">, </w:t>
      </w:r>
      <w:r>
        <w:rPr>
          <w:rFonts w:ascii="Times New Roman" w:hAnsi="Times New Roman"/>
          <w:sz w:val="20"/>
        </w:rPr>
      </w:r>
      <w:commentRangeEnd w:id="1"/>
      <w:r>
        <w:commentReference w:id="1"/>
      </w:r>
      <w:r>
        <w:rPr>
          <w:rFonts w:ascii="Times New Roman" w:hAnsi="Times New Roman"/>
          <w:sz w:val="20"/>
        </w:rPr>
      </w:r>
      <w:commentRangeEnd w:id="0"/>
      <w:r>
        <w:commentReference w:id="0"/>
      </w:r>
      <w:r>
        <w:rPr>
          <w:rFonts w:ascii="Times New Roman" w:hAnsi="Times New Roman"/>
          <w:sz w:val="20"/>
        </w:rPr>
        <w:t>červená kniha rostlinných společenstev ČR (stav 1995)</w:t>
      </w:r>
      <w:ins w:id="19" w:author="Martin Vojík" w:date="2024-09-04T13:20:00Z">
        <w:r>
          <w:rPr>
            <w:rFonts w:ascii="Times New Roman" w:hAnsi="Times New Roman"/>
            <w:sz w:val="20"/>
          </w:rPr>
          <w:t xml:space="preserve"> (Moravec 1995)</w:t>
        </w:r>
      </w:ins>
      <w:del w:id="20" w:author="Martin Vojík" w:date="2024-09-04T13:20:00Z">
        <w:r>
          <w:rPr>
            <w:rStyle w:val="FootnoteAnchor"/>
            <w:rFonts w:ascii="Times New Roman" w:hAnsi="Times New Roman"/>
            <w:sz w:val="20"/>
          </w:rPr>
          <w:footnoteReference w:id="9"/>
        </w:r>
      </w:del>
      <w:r>
        <w:rPr>
          <w:rFonts w:ascii="Times New Roman" w:hAnsi="Times New Roman"/>
          <w:sz w:val="20"/>
        </w:rPr>
        <w:t xml:space="preserve"> a červená kniha biotopů (</w:t>
      </w:r>
      <w:ins w:id="21" w:author="Martin Vojík" w:date="2024-09-04T13:21:00Z">
        <w:r>
          <w:rPr>
            <w:rFonts w:ascii="Times New Roman" w:hAnsi="Times New Roman"/>
            <w:sz w:val="20"/>
          </w:rPr>
          <w:t>Härtel a kol. 2009</w:t>
        </w:r>
      </w:ins>
      <w:del w:id="22" w:author="Martin Vojík" w:date="2024-09-04T13:21:00Z">
        <w:r>
          <w:rPr>
            <w:rFonts w:ascii="Times New Roman" w:hAnsi="Times New Roman"/>
            <w:sz w:val="20"/>
          </w:rPr>
          <w:delText>stav 2005</w:delText>
        </w:r>
      </w:del>
      <w:r>
        <w:rPr>
          <w:rFonts w:ascii="Times New Roman" w:hAnsi="Times New Roman"/>
          <w:sz w:val="20"/>
        </w:rPr>
        <w:t>)</w:t>
      </w:r>
      <w:del w:id="23" w:author="Martin Vojík" w:date="2024-09-04T13:23:00Z">
        <w:r>
          <w:rPr>
            <w:rStyle w:val="FootnoteAnchor"/>
            <w:rFonts w:ascii="Times New Roman" w:hAnsi="Times New Roman"/>
            <w:sz w:val="20"/>
          </w:rPr>
          <w:footnoteReference w:id="10"/>
        </w:r>
      </w:del>
      <w:r>
        <w:rPr>
          <w:rFonts w:ascii="Times New Roman" w:hAnsi="Times New Roman"/>
          <w:sz w:val="20"/>
        </w:rPr>
        <w:t>.</w:t>
      </w:r>
    </w:p>
    <w:p>
      <w:pPr>
        <w:pStyle w:val="ListParagraph"/>
        <w:numPr>
          <w:ilvl w:val="0"/>
          <w:numId w:val="3"/>
        </w:numPr>
        <w:spacing w:before="0" w:after="200"/>
        <w:ind w:left="360" w:hanging="360"/>
        <w:contextualSpacing/>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pPr>
        <w:pStyle w:val="Normal"/>
        <w:jc w:val="both"/>
        <w:rPr>
          <w:rFonts w:ascii="Times New Roman" w:hAnsi="Times New Roman"/>
          <w:b/>
          <w:b/>
          <w:sz w:val="24"/>
        </w:rPr>
      </w:pPr>
      <w:r>
        <w:rPr>
          <w:rFonts w:ascii="Times New Roman" w:hAnsi="Times New Roman"/>
          <w:b/>
          <w:sz w:val="24"/>
        </w:rPr>
        <w:t xml:space="preserve">Dosažení cílového stavu ochrany stanovišť se měří a vyhodnocuje pomocí sledování rozlohy a průměrné kvality stanoviště v rámci EVL. K nastavení péče za účelem dosažení cílového stavu slouží indikátory vývoje stanoviště (typické druhy, minimiareál, mozaika, druhy čeveného seznamu, invazní druhy, expanzivní druhy a pro lesní stanoviště mrtvé dřevo). </w:t>
      </w:r>
    </w:p>
    <w:p>
      <w:pPr>
        <w:pStyle w:val="Normal"/>
        <w:jc w:val="both"/>
        <w:rPr>
          <w:rFonts w:ascii="Times New Roman" w:hAnsi="Times New Roman"/>
          <w:sz w:val="24"/>
        </w:rPr>
      </w:pPr>
      <w:r>
        <w:rPr>
          <w:rFonts w:ascii="Times New Roman" w:hAnsi="Times New Roman"/>
          <w:sz w:val="24"/>
        </w:rPr>
        <w:t>Zdrojem dat pro výpočet parametrů jsou aktualizovaná vrstva mapování biotopů a databáze NDOP.</w:t>
      </w:r>
    </w:p>
    <w:p>
      <w:pPr>
        <w:pStyle w:val="ListParagraph"/>
        <w:ind w:left="0" w:hanging="0"/>
        <w:jc w:val="both"/>
        <w:rPr>
          <w:rFonts w:ascii="Times New Roman" w:hAnsi="Times New Roman"/>
          <w:sz w:val="24"/>
          <w:szCs w:val="24"/>
        </w:rPr>
      </w:pPr>
      <w:commentRangeStart w:id="2"/>
      <w:r>
        <w:rPr>
          <w:rFonts w:ascii="Times New Roman" w:hAnsi="Times New Roman"/>
          <w:sz w:val="24"/>
          <w:szCs w:val="24"/>
        </w:rPr>
        <w:t xml:space="preserve">Metodické postupy zpracování prostorových dat v prostředí R jsou dostupné na </w:t>
      </w:r>
      <w:hyperlink r:id="rId2">
        <w:r>
          <w:rPr>
            <w:rStyle w:val="InternetLink"/>
            <w:rFonts w:ascii="Times New Roman" w:hAnsi="Times New Roman"/>
            <w:b/>
            <w:sz w:val="24"/>
            <w:szCs w:val="24"/>
          </w:rPr>
          <w:t>github.com/jonasgaigr/N2K.CZ</w:t>
        </w:r>
      </w:hyperlink>
      <w:r>
        <w:rPr>
          <w:rFonts w:ascii="Times New Roman" w:hAnsi="Times New Roman"/>
          <w:sz w:val="24"/>
          <w:szCs w:val="24"/>
        </w:rPr>
        <w:t xml:space="preserve">, skript na zpracování dat obsažených ve VMB je dostupný na </w:t>
      </w:r>
      <w:hyperlink r:id="rId3">
        <w:r>
          <w:rPr>
            <w:rStyle w:val="InternetLink"/>
            <w:rFonts w:ascii="Times New Roman" w:hAnsi="Times New Roman"/>
            <w:sz w:val="24"/>
            <w:szCs w:val="24"/>
          </w:rPr>
          <w:t>github.com/jonasgaigr/N2K.CZ/blob/main/n2k_hvezdice_auto.R</w:t>
        </w:r>
      </w:hyperlink>
      <w:r>
        <w:rPr>
          <w:rFonts w:ascii="Times New Roman" w:hAnsi="Times New Roman"/>
          <w:sz w:val="24"/>
          <w:szCs w:val="24"/>
        </w:rPr>
        <w:t>.</w:t>
      </w:r>
      <w:del w:id="24" w:author="Unknown Author" w:date="2026-01-07T14:46:52Z">
        <w:r>
          <w:rPr>
            <w:rFonts w:ascii="Times New Roman" w:hAnsi="Times New Roman"/>
            <w:sz w:val="24"/>
            <w:szCs w:val="24"/>
          </w:rPr>
          <w:delText xml:space="preserve"> </w:delText>
        </w:r>
      </w:del>
      <w:ins w:id="25" w:author="Jakub Rataj" w:date="2026-01-20T11:18:28Z">
        <w:r>
          <w:rPr>
            <w:rFonts w:ascii="Times New Roman" w:hAnsi="Times New Roman"/>
            <w:sz w:val="24"/>
            <w:szCs w:val="24"/>
          </w:rPr>
        </w:r>
      </w:ins>
      <w:del w:id="26" w:author="Unknown Author" w:date="2026-01-07T14:46:52Z">
        <w:commentRangeEnd w:id="2"/>
        <w:r>
          <w:commentReference w:id="2"/>
        </w:r>
        <w:r>
          <w:rPr>
            <w:rFonts w:ascii="Times New Roman" w:hAnsi="Times New Roman"/>
            <w:sz w:val="24"/>
            <w:szCs w:val="24"/>
          </w:rPr>
          <w:delText xml:space="preserve"> </w:delText>
        </w:r>
      </w:del>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sz w:val="20"/>
        </w:rPr>
      </w:pPr>
      <w:r>
        <w:rPr>
          <w:rFonts w:ascii="Times New Roman" w:hAnsi="Times New Roman"/>
          <w:b/>
          <w:i/>
          <w:sz w:val="24"/>
          <w:szCs w:val="28"/>
        </w:rPr>
        <w:t>Rozloha</w:t>
      </w:r>
    </w:p>
    <w:p>
      <w:pPr>
        <w:pStyle w:val="Normal"/>
        <w:jc w:val="both"/>
        <w:rPr>
          <w:rFonts w:ascii="Times New Roman" w:hAnsi="Times New Roman"/>
          <w:sz w:val="24"/>
        </w:rPr>
      </w:pPr>
      <w:r>
        <w:rPr>
          <w:rFonts w:ascii="Times New Roman" w:hAnsi="Times New Roman"/>
          <w:sz w:val="24"/>
          <w:szCs w:val="28"/>
        </w:rPr>
        <w:t>Celková rozloha stanoviště včetně degradované plochy (</w:t>
      </w:r>
      <w:r>
        <w:rPr>
          <w:rFonts w:ascii="Times New Roman" w:hAnsi="Times New Roman"/>
          <w:sz w:val="24"/>
        </w:rPr>
        <w:t xml:space="preserve">reprezentativnost/degradace „W“) a plochy pasek. Hodnota rozlohy je porovnávána s hodnotou stanovenou jako cílový stav na lokalitě a je hodnoceno její dosažení. </w:t>
      </w:r>
      <w:commentRangeStart w:id="3"/>
      <w:r>
        <w:rPr>
          <w:rFonts w:ascii="Times New Roman" w:hAnsi="Times New Roman"/>
          <w:sz w:val="24"/>
        </w:rPr>
        <w:t xml:space="preserve">Zároveň je sledována její změna oproti předešlému hodnocení a parametr je hodnocen negativně, pokud úbytek rozlohy přesáhne 5 %. </w:t>
      </w:r>
      <w:r>
        <w:rPr>
          <w:rFonts w:ascii="Times New Roman" w:hAnsi="Times New Roman"/>
          <w:sz w:val="24"/>
        </w:rPr>
      </w:r>
      <w:commentRangeEnd w:id="3"/>
      <w:r>
        <w:commentReference w:id="3"/>
      </w:r>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Kvalita</w:t>
      </w:r>
    </w:p>
    <w:p>
      <w:pPr>
        <w:pStyle w:val="Normal"/>
        <w:jc w:val="both"/>
        <w:rPr>
          <w:rFonts w:ascii="Times New Roman" w:hAnsi="Times New Roman"/>
          <w:sz w:val="24"/>
        </w:rPr>
      </w:pPr>
      <w:r>
        <w:rPr>
          <w:rFonts w:ascii="Times New Roman" w:hAnsi="Times New Roman"/>
          <w:sz w:val="24"/>
        </w:rPr>
        <w:t xml:space="preserve">Parametr kvality ukazuje průměrnou kvalitu stanoviště váženou plochou. Obecně je žádoucí, a to i z hlediska perspektivy vývoje, usilovat ochranářským managementem a lidskými zásahy o maximální navýšení poměrného zastoupení ploch s kvalitou 1. </w:t>
      </w:r>
    </w:p>
    <w:p>
      <w:pPr>
        <w:pStyle w:val="Normal"/>
        <w:spacing w:before="120" w:after="12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hodnota pro stanoviště na území EVL je na původní škále 1-4. Do výpočtu parametru vstupuje plocha stanoviště v degradovaném stavu (W) a pasek, kterým je automaticky přiřazena nejhorší hodnota 4.</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jc w:val="both"/>
        <w:rPr>
          <w:rFonts w:ascii="Times New Roman" w:hAnsi="Times New Roman" w:eastAsia="" w:eastAsiaTheme="minorEastAsia"/>
          <w:b/>
          <w:b/>
          <w:sz w:val="24"/>
        </w:rPr>
      </w:pPr>
      <w:r>
        <w:rPr>
          <w:rFonts w:ascii="Times New Roman" w:hAnsi="Times New Roman"/>
          <w:sz w:val="24"/>
        </w:rPr>
        <w:t>Výpočet kvality polygonů příslušného stanoviště vychází z kombinace parametrů „degradace“ a „struktura a funkce“ v aktualizované VMB</w:t>
      </w:r>
      <w:commentRangeStart w:id="4"/>
      <w:r>
        <w:rPr>
          <w:rFonts w:ascii="Times New Roman" w:hAnsi="Times New Roman"/>
          <w:sz w:val="24"/>
        </w:rPr>
        <w:t xml:space="preserve">. Definice je odvozena z metodiky </w:t>
      </w:r>
      <w:r>
        <w:rPr>
          <w:rFonts w:eastAsia="SimSun" w:ascii="Times New Roman" w:hAnsi="Times New Roman"/>
          <w:sz w:val="24"/>
          <w:szCs w:val="24"/>
          <w:lang w:eastAsia="hi-IN" w:bidi="hi-IN"/>
        </w:rPr>
        <w:t>Lustyka a Ouškové (2011</w:t>
      </w:r>
      <w:r>
        <w:rPr>
          <w:rFonts w:ascii="Times New Roman" w:hAnsi="Times New Roman"/>
          <w:sz w:val="24"/>
        </w:rPr>
        <w:t xml:space="preserve">). </w:t>
      </w:r>
      <w:r>
        <w:rPr>
          <w:rFonts w:ascii="Times New Roman" w:hAnsi="Times New Roman"/>
          <w:sz w:val="24"/>
        </w:rPr>
      </w:r>
      <w:commentRangeEnd w:id="4"/>
      <w:r>
        <w:commentReference w:id="4"/>
      </w:r>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0" w:after="0"/>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Typické druhy</w:t>
      </w:r>
    </w:p>
    <w:p>
      <w:pPr>
        <w:pStyle w:val="Normal"/>
        <w:spacing w:before="0" w:after="0"/>
        <w:jc w:val="both"/>
        <w:rPr>
          <w:rFonts w:ascii="Times New Roman" w:hAnsi="Times New Roman"/>
          <w:sz w:val="24"/>
        </w:rPr>
      </w:pPr>
      <w:r>
        <w:rPr>
          <w:rFonts w:ascii="Times New Roman" w:hAnsi="Times New Roman"/>
          <w:sz w:val="24"/>
        </w:rPr>
        <w:t>Parametr ukazuje plochou vážené zastoupení typických druhů na úz</w:t>
      </w:r>
      <w:ins w:id="27" w:author="Unknown Author" w:date="2026-01-07T15:02:07Z">
        <w:del w:id="28" w:author="Jakub Rataj" w:date="2026-01-20T11:37:13Z">
          <w:r>
            <w:rPr/>
            <w:commentReference w:id="5"/>
          </w:r>
        </w:del>
      </w:ins>
      <w:del w:id="29" w:author="Jakub Rataj" w:date="2026-01-20T11:37:42Z">
        <w:r>
          <w:rPr/>
          <w:commentReference w:id="6"/>
        </w:r>
      </w:del>
      <w:r>
        <w:rPr>
          <w:rFonts w:ascii="Times New Roman" w:hAnsi="Times New Roman"/>
          <w:sz w:val="24"/>
        </w:rPr>
        <w:t>. 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w:t>
      </w:r>
      <w:ins w:id="30" w:author="Martin Vojík" w:date="2024-09-04T12:29:00Z">
        <w:r>
          <w:rPr>
            <w:rFonts w:ascii="Times New Roman" w:hAnsi="Times New Roman"/>
            <w:sz w:val="24"/>
          </w:rPr>
          <w:t>024</w:t>
        </w:r>
      </w:ins>
      <w:ins w:id="31" w:author="Martin Vojík" w:date="2024-09-04T12:58:00Z">
        <w:r>
          <w:rPr>
            <w:rFonts w:ascii="Times New Roman" w:hAnsi="Times New Roman"/>
            <w:sz w:val="24"/>
          </w:rPr>
          <w:t>b</w:t>
        </w:r>
      </w:ins>
      <w:del w:id="32" w:author="Martin Vojík" w:date="2024-09-04T12:29:00Z">
        <w:r>
          <w:rPr>
            <w:rFonts w:ascii="Times New Roman" w:hAnsi="Times New Roman"/>
            <w:sz w:val="24"/>
          </w:rPr>
          <w:delText>015</w:delText>
        </w:r>
      </w:del>
      <w:r>
        <w:rPr>
          <w:rFonts w:ascii="Times New Roman" w:hAnsi="Times New Roman"/>
          <w:sz w:val="24"/>
        </w:rPr>
        <w:t>).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na původní škále 1-3. Do výpočtu parametru vstupuje plocha stanoviště v degradovaném stavu (W) a pasek, jejich ploše je automaticky přiřazena hodnota 3. Parametr doplňuje informace o procentu plochy vyskytujícím se v degradovaném stavu (W) nebo ve  formě pasek.</w:t>
      </w:r>
    </w:p>
    <w:p>
      <w:pPr>
        <w:pStyle w:val="Normal"/>
        <w:spacing w:before="120" w:after="120"/>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120"/>
        <w:jc w:val="both"/>
        <w:rPr>
          <w:rFonts w:ascii="Times New Roman" w:hAnsi="Times New Roman" w:eastAsia="" w:eastAsiaTheme="minorEastAsia"/>
          <w:sz w:val="24"/>
        </w:rPr>
      </w:pPr>
      <w:r>
        <w:rPr>
          <w:rFonts w:ascii="Times New Roman" w:hAnsi="Times New Roman"/>
          <w:b/>
          <w:sz w:val="24"/>
        </w:rPr>
        <w:t xml:space="preserve">Očekávané problémy </w:t>
      </w:r>
      <w:r>
        <w:rPr>
          <w:rFonts w:ascii="Times New Roman" w:hAnsi="Times New Roman"/>
          <w:sz w:val="24"/>
        </w:rPr>
        <w:t xml:space="preserve">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w:t>
      </w:r>
      <w:ins w:id="33" w:author="Martin Vojík" w:date="2024-09-04T12:56:00Z">
        <w:r>
          <w:rPr>
            <w:rFonts w:ascii="Times New Roman" w:hAnsi="Times New Roman"/>
            <w:sz w:val="24"/>
          </w:rPr>
          <w:t>(Lustyk 2024</w:t>
        </w:r>
      </w:ins>
      <w:ins w:id="34" w:author="Martin Vojík" w:date="2024-09-04T12:58:00Z">
        <w:r>
          <w:rPr>
            <w:rFonts w:ascii="Times New Roman" w:hAnsi="Times New Roman"/>
            <w:sz w:val="24"/>
          </w:rPr>
          <w:t>b</w:t>
        </w:r>
      </w:ins>
      <w:ins w:id="35" w:author="Martin Vojík" w:date="2024-09-04T12:56:00Z">
        <w:r>
          <w:rPr>
            <w:rFonts w:ascii="Times New Roman" w:hAnsi="Times New Roman"/>
            <w:sz w:val="24"/>
          </w:rPr>
          <w:t xml:space="preserve">) </w:t>
        </w:r>
      </w:ins>
      <w:r>
        <w:rPr>
          <w:rFonts w:ascii="Times New Roman" w:hAnsi="Times New Roman"/>
          <w:sz w:val="24"/>
        </w:rPr>
        <w:t>a musí být podrobně zdokumentováno.</w:t>
      </w:r>
    </w:p>
    <w:p>
      <w:pPr>
        <w:pStyle w:val="Normal"/>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Minimiareál</w:t>
      </w:r>
    </w:p>
    <w:p>
      <w:pPr>
        <w:pStyle w:val="Normal"/>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11"/>
      </w:r>
      <w:r>
        <w:rPr>
          <w:rFonts w:ascii="Times New Roman" w:hAnsi="Times New Roman"/>
          <w:sz w:val="24"/>
        </w:rPr>
        <w:t xml:space="preserve"> zastupuje celkovou rozlohu stanoviště v celistvém stavu a má ukázat, nakolik je zastoupení stanoviště na lokalitě dostatečné a jakou má perspektivu do budoucna (obecně platí, že čím je plocha větší, tím je perspektiva lepší). Do výpočtu plochy stanoviště v celistvém uspořádání (čitatele výpočtu) nevstupují segmenty s výskytem degradovaného stanoviště (reprezentativnost/degradace „W“) a paseky, jejich plocha je ale součástí celkové plochy stanoviště (jmenovatele). Parametr doplňuje informace o procentu plochy vyskytujícím se v degradovaném stavu (W) nebo ve formě pasek.</w:t>
      </w:r>
    </w:p>
    <w:p>
      <w:pPr>
        <w:pStyle w:val="Normal"/>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procento rozlohy všech polygonů daného stanoviště, které v celistvém prostorovém uspořádání dosahují alespoň hodnoty minimiareálu. Jako plocha v rámci celistvého stanoviště jsou vnímány segmenty vzdálené od zbytku stejného typu stanoviště maximálně 50 m.</w:t>
      </w:r>
    </w:p>
    <w:p>
      <w:pPr>
        <w:pStyle w:val="Normal"/>
        <w:jc w:val="center"/>
        <w:rPr>
          <w:rFonts w:ascii="Times New Roman" w:hAnsi="Times New Roman"/>
          <w:sz w:val="24"/>
        </w:rPr>
      </w:pPr>
      <w:r>
        <w:rPr/>
      </w:r>
      <m:oMathPara xmlns:m="http://schemas.openxmlformats.org/officeDocument/2006/math">
        <m:oMathParaPr>
          <m:jc m:val="center"/>
        </m:oMathParaPr>
        <m:oMath>
          <m:r>
            <w:rPr>
              <w:rFonts w:ascii="Cambria Math" w:hAnsi="Cambria Math"/>
            </w:rPr>
            <m:t xml:space="preserve">minimiareál</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celistvé</m:t>
                  </m:r>
                  <m:r>
                    <w:rPr>
                      <w:rFonts w:ascii="Cambria Math" w:hAnsi="Cambria Math"/>
                    </w:rPr>
                    <m:t xml:space="preserve">stanoviště</m:t>
                  </m:r>
                  <m:r>
                    <w:rPr>
                      <w:rFonts w:ascii="Cambria Math" w:hAnsi="Cambria Math"/>
                    </w:rPr>
                    <m:t xml:space="preserve">≥</m:t>
                  </m:r>
                  <m:r>
                    <w:rPr>
                      <w:rFonts w:ascii="Cambria Math" w:hAnsi="Cambria Math"/>
                    </w:rPr>
                    <m:t xml:space="preserve">minimiareál</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sloučená (50m buffer) aktualizovaná vrstva mapování biotopů</w:t>
      </w:r>
    </w:p>
    <w:p>
      <w:pPr>
        <w:pStyle w:val="Normal"/>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reálné rozlohy polygonů kvality 1 a 2 oproti polygonům kvality 3 a 4 v EVL a mimo EVL na pozadí údajů uvedených v pracích Seják a Dejmal (2003; kapitola 4.2.3.1.– Minimální rozlohy přírodních typů biotopů) a Dostálová (2012; tab. 9). Nově byly stanoveny hodnoty minimiareálů na základě srovnání s konkrétními hodnotami excerpovanými z aktualizované VMB. Tabulka s hodnotami minimareálů je v </w:t>
      </w:r>
      <w:commentRangeStart w:id="7"/>
      <w:r>
        <w:rPr>
          <w:rFonts w:ascii="Times New Roman" w:hAnsi="Times New Roman"/>
          <w:sz w:val="24"/>
        </w:rPr>
        <w:t>Příloze 2</w:t>
      </w:r>
      <w:r>
        <w:rPr>
          <w:rFonts w:ascii="Times New Roman" w:hAnsi="Times New Roman"/>
          <w:sz w:val="24"/>
        </w:rPr>
      </w:r>
      <w:commentRangeEnd w:id="7"/>
      <w:r>
        <w:commentReference w:id="7"/>
      </w:r>
      <w:r>
        <w:rPr>
          <w:rFonts w:ascii="Times New Roman" w:hAnsi="Times New Roman"/>
          <w:sz w:val="24"/>
        </w:rPr>
        <w:t>. V případě, že se stanovište v EVL vyskytuje ve více biotopech s různými hodnotami minimiareálu, je využita vždy vyšší hodnota.</w:t>
      </w:r>
    </w:p>
    <w:p>
      <w:pPr>
        <w:pStyle w:val="Normal"/>
        <w:jc w:val="both"/>
        <w:rPr>
          <w:rFonts w:ascii="Times New Roman" w:hAnsi="Times New Roman"/>
          <w:b/>
          <w:b/>
          <w:i/>
          <w:i/>
          <w:sz w:val="24"/>
          <w:szCs w:val="28"/>
        </w:rPr>
      </w:pPr>
      <w:r>
        <w:rPr/>
        <w:drawing>
          <wp:inline distT="0" distB="0" distL="0" distR="0">
            <wp:extent cx="5746750" cy="28321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rcRect l="0" t="0" r="0" b="8033"/>
                    <a:stretch>
                      <a:fillRect/>
                    </a:stretch>
                  </pic:blipFill>
                  <pic:spPr bwMode="auto">
                    <a:xfrm>
                      <a:off x="0" y="0"/>
                      <a:ext cx="5746750" cy="2832100"/>
                    </a:xfrm>
                    <a:prstGeom prst="rect">
                      <a:avLst/>
                    </a:prstGeom>
                  </pic:spPr>
                </pic:pic>
              </a:graphicData>
            </a:graphic>
          </wp:inline>
        </w:drawing>
      </w:r>
    </w:p>
    <w:p>
      <w:pPr>
        <w:pStyle w:val="Normal"/>
        <w:spacing w:lineRule="auto" w:line="240"/>
        <w:jc w:val="both"/>
        <w:rPr/>
      </w:pPr>
      <w:commentRangeStart w:id="8"/>
      <w:r>
        <w:rPr/>
        <w:t xml:space="preserve">Obr. 3.  Schéma znázorňující segmenty dotčeného typu přírodního stanoviště sloučené s využitím 50m bufferu (modře) ve vztahu  k velikosti minimiareálu. Výpočet probíhá ve dvou krocích. Nejdříve </w:t>
      </w:r>
      <w:commentRangeStart w:id="9"/>
      <w:r>
        <w:rPr/>
        <w:t>(</w:t>
      </w:r>
      <w:ins w:id="36" w:author="Martin Vojík" w:date="2024-09-04T09:09:00Z">
        <w:r>
          <w:rPr/>
          <w:t>a</w:t>
        </w:r>
      </w:ins>
      <w:del w:id="37" w:author="Martin Vojík" w:date="2024-09-04T09:09:00Z">
        <w:r>
          <w:rPr/>
          <w:delText>1</w:delText>
        </w:r>
      </w:del>
      <w:r>
        <w:rPr/>
        <w:t xml:space="preserve">) </w:t>
      </w:r>
      <w:r>
        <w:rPr/>
      </w:r>
      <w:commentRangeEnd w:id="9"/>
      <w:r>
        <w:commentReference w:id="9"/>
      </w:r>
      <w:r>
        <w:rPr/>
        <w:t>jsou vytvořeny skupiny segmentů s výskytem, které od sebe nejsou vzdáleny více jak 50 m (červená linie). Následně (b) je součet plochy stanoviště pro každou skupinu porovnán s hodnotou minimiareálu. Definici stanoviště v celistvém uspořádání alespoň o rozloze minimiareálu tak splňují segmenty v rámci skupiny C a D.</w:t>
      </w:r>
      <w:commentRangeEnd w:id="8"/>
      <w:r>
        <w:commentReference w:id="8"/>
      </w:r>
      <w:r>
        <w:rPr/>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Mozaika</w:t>
      </w:r>
    </w:p>
    <w:p>
      <w:pPr>
        <w:pStyle w:val="Normal"/>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12"/>
      </w:r>
      <w:r>
        <w:rPr>
          <w:rFonts w:ascii="Times New Roman" w:hAnsi="Times New Roman"/>
          <w:sz w:val="24"/>
        </w:rPr>
        <w:t xml:space="preserve"> postihuje míru, nakolik tvoří přirozená mozaika přírodních biotopů souvislé celky a nakolik jsou tyto celky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bottomFromText="0" w:horzAnchor="text" w:leftFromText="141" w:rightFromText="141" w:tblpX="0" w:tblpXSpec="center" w:tblpY="1848" w:topFromText="0" w:vertAnchor="text"/>
        <w:tblW w:w="864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96"/>
        <w:gridCol w:w="7244"/>
      </w:tblGrid>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typ výpočtu</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procento plochy stanoviště vyskytujícího se v mozaikách se zastoupením nepřírodních biotopů pod 50 %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vnější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 xml:space="preserve">≥ </w:t>
            </w:r>
            <w:r>
              <w:rPr>
                <w:rFonts w:eastAsia="Calibri" w:cs="" w:ascii="Times New Roman" w:hAnsi="Times New Roman"/>
                <w:kern w:val="0"/>
                <w:sz w:val="22"/>
                <w:szCs w:val="22"/>
                <w:lang w:val="cs-CZ" w:eastAsia="en-US" w:bidi="ar-SA"/>
              </w:rPr>
              <w:t>25 %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vnitřní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&lt; 25 %</w:t>
            </w:r>
          </w:p>
        </w:tc>
      </w:tr>
    </w:tbl>
    <w:p>
      <w:pPr>
        <w:pStyle w:val="Normal"/>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parametr je počítán 2 různými způsoby podle procenta plochy stanoviště vyskytujícího se v rámci sledované EVL v mozaikách se zastoupením pod 50 % (viz tabulka</w:t>
      </w:r>
      <w:del w:id="38" w:author="Jakub Rataj" w:date="2026-01-07T15:21:16Z">
        <w:r>
          <w:rPr>
            <w:rFonts w:ascii="Times New Roman" w:hAnsi="Times New Roman"/>
            <w:sz w:val="24"/>
          </w:rPr>
          <w:delText xml:space="preserve"> níže</w:delText>
        </w:r>
      </w:del>
      <w:r>
        <w:rPr>
          <w:rFonts w:ascii="Times New Roman" w:hAnsi="Times New Roman"/>
          <w:sz w:val="24"/>
        </w:rPr>
        <w:t>). Rozdílný postup je aplikován vhledem k vysoké nejistotě uspořádání členů v mozaice při nízkém zastoupení sledovaného typu stanoviště. Nízká hranice pro způsob výpočtu vnější mozaikou (25 %) byla zvolena vzhledem k předpokládanému snižování zastoupení mozaik.</w:t>
      </w:r>
    </w:p>
    <w:p>
      <w:pPr>
        <w:pStyle w:val="Normal"/>
        <w:jc w:val="both"/>
        <w:rPr>
          <w:rFonts w:ascii="Times New Roman" w:hAnsi="Times New Roman"/>
          <w:sz w:val="24"/>
        </w:rPr>
      </w:pPr>
      <w:r>
        <w:rPr>
          <w:rFonts w:ascii="Times New Roman" w:hAnsi="Times New Roman"/>
          <w:b/>
          <w:sz w:val="24"/>
        </w:rPr>
        <w:t>Vnější mozaika</w:t>
      </w:r>
      <w:r>
        <w:rPr>
          <w:rFonts w:ascii="Times New Roman" w:hAnsi="Times New Roman"/>
          <w:sz w:val="24"/>
        </w:rPr>
        <w:t xml:space="preserve"> vyjadřuje míru ovlivnění stanoviště okrajovým efektem a je definována jako podíl délky hranice daného typu přírodního stanoviště v dané EVL s ostatními přírodními biotopy (</w:t>
      </w:r>
      <w:r>
        <w:rPr>
          <w:rFonts w:ascii="Times New Roman" w:hAnsi="Times New Roman"/>
          <w:i/>
          <w:sz w:val="24"/>
        </w:rPr>
        <w:t>d</w:t>
      </w:r>
      <w:r>
        <w:rPr>
          <w:rFonts w:ascii="Times New Roman" w:hAnsi="Times New Roman"/>
          <w:i/>
          <w:sz w:val="24"/>
          <w:vertAlign w:val="subscript"/>
        </w:rPr>
        <w:t>b</w:t>
      </w:r>
      <w:r>
        <w:rPr>
          <w:rFonts w:ascii="Times New Roman" w:hAnsi="Times New Roman"/>
          <w:sz w:val="24"/>
        </w:rPr>
        <w:t>) vztažený k celkové délce hranice daného typu přírodního stanoviště v dané EVL (d</w:t>
      </w:r>
      <w:r>
        <w:rPr>
          <w:rFonts w:ascii="Times New Roman" w:hAnsi="Times New Roman"/>
          <w:sz w:val="24"/>
          <w:vertAlign w:val="subscript"/>
        </w:rPr>
        <w:t>c</w:t>
      </w:r>
      <w:r>
        <w:rPr>
          <w:rFonts w:ascii="Times New Roman" w:hAnsi="Times New Roman"/>
          <w:sz w:val="24"/>
        </w:rPr>
        <w:t>), násobený koeficientem 100. Výpočet využívá pouze segemty stanoviště vyskytujícího se v mozaikách se zastoupením pod 50 %. Pro polygony, jejichž okraj je shodný s hranicí ČR, je předpokládaný poměr dopočítán na základě dostupných dat z české strany.</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r>
            <w:rPr>
              <w:rFonts w:ascii="Cambria Math" w:hAnsi="Cambria Math"/>
            </w:rPr>
            <m:t xml:space="preserve">vnější</m:t>
          </m:r>
          <m:r>
            <w:rPr>
              <w:rFonts w:ascii="Cambria Math" w:hAnsi="Cambria Math"/>
            </w:rPr>
            <m:t xml:space="preserve">mozaika</m:t>
          </m:r>
          <m:r>
            <w:rPr>
              <w:rFonts w:ascii="Cambria Math" w:hAnsi="Cambria Math"/>
            </w:rPr>
            <m:t xml:space="preserve">=</m:t>
          </m:r>
          <m:f>
            <m:num>
              <m:sSub>
                <m:e>
                  <m:r>
                    <w:rPr>
                      <w:rFonts w:ascii="Cambria Math" w:hAnsi="Cambria Math"/>
                    </w:rPr>
                    <m:t xml:space="preserve">d</m:t>
                  </m:r>
                </m:e>
                <m:sub>
                  <m:r>
                    <w:rPr>
                      <w:rFonts w:ascii="Cambria Math" w:hAnsi="Cambria Math"/>
                    </w:rPr>
                    <m:t xml:space="preserve">b</m:t>
                  </m:r>
                </m:sub>
              </m:sSub>
            </m:num>
            <m:den>
              <m:sSub>
                <m:e>
                  <m:r>
                    <w:rPr>
                      <w:rFonts w:ascii="Cambria Math" w:hAnsi="Cambria Math"/>
                    </w:rPr>
                    <m:t xml:space="preserve">d</m:t>
                  </m:r>
                </m:e>
                <m:sub>
                  <m:r>
                    <w:rPr>
                      <w:rFonts w:ascii="Cambria Math" w:hAnsi="Cambria Math"/>
                    </w:rPr>
                    <m:t xml:space="preserve">c</m:t>
                  </m:r>
                </m:sub>
              </m:sSub>
            </m:den>
          </m:f>
          <m:r>
            <w:rPr>
              <w:rFonts w:ascii="Cambria Math" w:hAnsi="Cambria Math"/>
            </w:rPr>
            <m:t xml:space="preserve">×</m:t>
          </m:r>
          <m:r>
            <w:rPr>
              <w:rFonts w:ascii="Cambria Math" w:hAnsi="Cambria Math"/>
            </w:rPr>
            <m:t xml:space="preserve">100</m:t>
          </m:r>
        </m:oMath>
      </m:oMathPara>
    </w:p>
    <w:p>
      <w:pPr>
        <w:pStyle w:val="Normal"/>
        <w:jc w:val="center"/>
        <w:rPr>
          <w:rFonts w:ascii="Times New Roman" w:hAnsi="Times New Roman"/>
          <w:b/>
          <w:b/>
          <w:i/>
          <w:i/>
          <w:sz w:val="24"/>
          <w:szCs w:val="28"/>
        </w:rPr>
      </w:pPr>
      <w:r>
        <w:rPr/>
        <w:drawing>
          <wp:inline distT="0" distB="0" distL="0" distR="0">
            <wp:extent cx="4504690" cy="2345690"/>
            <wp:effectExtent l="0" t="0" r="0" b="0"/>
            <wp:docPr id="2"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59" descr="P:\Projekt TAČR Monitoring EVL\2016\úpravy po připomínkách MŽP\stanoviště\Mozaika.jpg"/>
                    <pic:cNvPicPr>
                      <a:picLocks noChangeAspect="1" noChangeArrowheads="1"/>
                    </pic:cNvPicPr>
                  </pic:nvPicPr>
                  <pic:blipFill>
                    <a:blip r:embed="rId5"/>
                    <a:stretch>
                      <a:fillRect/>
                    </a:stretch>
                  </pic:blipFill>
                  <pic:spPr bwMode="auto">
                    <a:xfrm>
                      <a:off x="0" y="0"/>
                      <a:ext cx="4504690" cy="2345690"/>
                    </a:xfrm>
                    <a:prstGeom prst="rect">
                      <a:avLst/>
                    </a:prstGeom>
                  </pic:spPr>
                </pic:pic>
              </a:graphicData>
            </a:graphic>
          </wp:inline>
        </w:drawing>
      </w:r>
    </w:p>
    <w:p>
      <w:pPr>
        <w:pStyle w:val="Normal"/>
        <w:spacing w:lineRule="auto" w:line="240"/>
        <w:jc w:val="both"/>
        <w:rPr/>
      </w:pPr>
      <w:r>
        <w:rPr/>
        <w:t xml:space="preserve">Obr. 2.  Schéma znázorňující polygony dotčeného typu přírodního stanoviště (modře) v matrici ostatních přírodních (zeleně) a nepřírodních (červeně). Příklad a) znázorňuje stav s nízkou hodnotou parametru vnější mozaika, b) stav s vysokou hodnotou parametru vnější mozaika. </w:t>
      </w:r>
    </w:p>
    <w:p>
      <w:pPr>
        <w:pStyle w:val="Normal"/>
        <w:jc w:val="both"/>
        <w:rPr>
          <w:rFonts w:ascii="Times New Roman" w:hAnsi="Times New Roman" w:eastAsia="" w:eastAsiaTheme="minorEastAsia"/>
        </w:rPr>
      </w:pPr>
      <w:r>
        <w:rPr>
          <w:rFonts w:eastAsia="" w:eastAsiaTheme="minorEastAsia" w:ascii="Times New Roman" w:hAnsi="Times New Roman"/>
        </w:rPr>
      </w:r>
    </w:p>
    <w:p>
      <w:pPr>
        <w:pStyle w:val="Normal"/>
        <w:jc w:val="both"/>
        <w:rPr>
          <w:rFonts w:ascii="Times New Roman" w:hAnsi="Times New Roman" w:eastAsia="" w:eastAsiaTheme="minorEastAsia"/>
          <w:sz w:val="24"/>
        </w:rPr>
      </w:pPr>
      <w:r>
        <w:rPr>
          <w:rFonts w:eastAsia="" w:ascii="Times New Roman" w:hAnsi="Times New Roman" w:eastAsiaTheme="minorEastAsia"/>
          <w:b/>
          <w:sz w:val="24"/>
        </w:rPr>
        <w:t xml:space="preserve">Vnitřní mozaika </w:t>
      </w:r>
      <w:r>
        <w:rPr>
          <w:rFonts w:eastAsia="" w:ascii="Times New Roman" w:hAnsi="Times New Roman" w:eastAsiaTheme="minorEastAsia"/>
          <w:sz w:val="24"/>
        </w:rPr>
        <w:t>vyjadřuje procento plochy stanoviště zastoupené v mozaikách (</w:t>
      </w:r>
      <w:r>
        <w:rPr>
          <w:rFonts w:eastAsia="" w:ascii="Times New Roman" w:hAnsi="Times New Roman" w:eastAsiaTheme="minorEastAsia"/>
          <w:i/>
          <w:sz w:val="24"/>
        </w:rPr>
        <w:t>plocha</w:t>
      </w:r>
      <w:r>
        <w:rPr>
          <w:rFonts w:eastAsia="" w:ascii="Times New Roman" w:hAnsi="Times New Roman" w:eastAsiaTheme="minorEastAsia"/>
          <w:i/>
          <w:sz w:val="24"/>
          <w:vertAlign w:val="subscript"/>
        </w:rPr>
        <w:t>X</w:t>
      </w:r>
      <w:r>
        <w:rPr>
          <w:rFonts w:eastAsia="" w:ascii="Times New Roman" w:hAnsi="Times New Roman" w:eastAsiaTheme="minorEastAsia"/>
          <w:sz w:val="24"/>
        </w:rPr>
        <w:t xml:space="preserve">) společně s nepřírodními biotopy (vnitřní mozaika) k celkové ploše stanoviště. </w:t>
      </w:r>
      <w:r>
        <w:rPr>
          <w:rFonts w:ascii="Times New Roman" w:hAnsi="Times New Roman"/>
          <w:sz w:val="24"/>
        </w:rPr>
        <w:t>Do výpočtu celkové plochy stanoviště vstupují segmenty s výskytem degradovaného stanoviště (reprezentativnost/degradace „W“) a paseky.</w:t>
      </w:r>
    </w:p>
    <w:p>
      <w:pPr>
        <w:pStyle w:val="Normal"/>
        <w:jc w:val="center"/>
        <w:rPr>
          <w:rFonts w:ascii="Times New Roman" w:hAnsi="Times New Roman"/>
          <w:sz w:val="28"/>
        </w:rPr>
      </w:pPr>
      <w:r>
        <w:rPr/>
      </w:r>
      <m:oMathPara xmlns:m="http://schemas.openxmlformats.org/officeDocument/2006/math">
        <m:oMathParaPr>
          <m:jc m:val="center"/>
        </m:oMathParaPr>
        <m:oMath>
          <m:r>
            <w:rPr>
              <w:rFonts w:ascii="Cambria Math" w:hAnsi="Cambria Math"/>
            </w:rPr>
            <m:t xml:space="preserve">vnitřní</m:t>
          </m:r>
          <m:r>
            <w:rPr>
              <w:rFonts w:ascii="Cambria Math" w:hAnsi="Cambria Math"/>
            </w:rPr>
            <m:t xml:space="preserve">mozaika</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X</m:t>
                  </m:r>
                </m:sub>
              </m:sSub>
            </m:num>
            <m:den>
              <m:sSub>
                <m:e>
                  <m:r>
                    <w:rPr>
                      <w:rFonts w:ascii="Cambria Math" w:hAnsi="Cambria Math"/>
                    </w:rPr>
                    <m:t xml:space="preserve">plocha</m:t>
                  </m:r>
                </m:e>
                <m:sub>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pPr>
        <w:pStyle w:val="Normal"/>
        <w:jc w:val="both"/>
        <w:rPr>
          <w:rFonts w:ascii="Times New Roman" w:hAnsi="Times New Roman"/>
          <w:sz w:val="24"/>
        </w:rPr>
      </w:pPr>
      <w:r>
        <w:rPr>
          <w:rFonts w:ascii="Times New Roman" w:hAnsi="Times New Roman"/>
          <w:sz w:val="24"/>
        </w:rPr>
        <w:t>V </w:t>
      </w:r>
      <w:del w:id="39" w:author="Martin Vojík" w:date="2024-09-04T09:16:00Z">
        <w:r>
          <w:rPr>
            <w:rFonts w:ascii="Times New Roman" w:hAnsi="Times New Roman"/>
            <w:sz w:val="24"/>
          </w:rPr>
          <w:delText xml:space="preserve">případě </w:delText>
        </w:r>
      </w:del>
      <w:ins w:id="40" w:author="Martin Vojík" w:date="2024-09-04T09:16:00Z">
        <w:r>
          <w:rPr>
            <w:rFonts w:ascii="Times New Roman" w:hAnsi="Times New Roman"/>
            <w:sz w:val="24"/>
          </w:rPr>
          <w:t xml:space="preserve">rámci </w:t>
        </w:r>
      </w:ins>
      <w:r>
        <w:rPr>
          <w:rFonts w:ascii="Times New Roman" w:hAnsi="Times New Roman"/>
          <w:sz w:val="24"/>
        </w:rPr>
        <w:t>parametru nastává výjimečný případ, kdy jsou pro okrajové polygony zahrnuty do hodnocení i segmenty mimo EVL, jinak by tato část hranice v hodnocení neodůvodněně chyběla. Zároveň řada EVL leží na hranici ČR a zahraniční data o výskytu přírodních biotopů nejsou pro výpočet k dispozici. Pro polygony, jejichž okraj je shodný s hranicí ČR, je předpokládaný poměr dopočítán na základě dostupných dat z české strany.</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Ohrožené druhy z červeného seznamu</w:t>
      </w:r>
    </w:p>
    <w:p>
      <w:pPr>
        <w:pStyle w:val="Normal"/>
        <w:jc w:val="both"/>
        <w:rPr>
          <w:rFonts w:ascii="Times New Roman" w:hAnsi="Times New Roman"/>
          <w:sz w:val="24"/>
        </w:rPr>
      </w:pPr>
      <w:r>
        <w:rPr>
          <w:rFonts w:ascii="Times New Roman" w:hAnsi="Times New Roman"/>
          <w:sz w:val="24"/>
        </w:rPr>
        <w:t xml:space="preserve">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špatnému stavu). Limitní hodnoty tohoto parametru nelze použít pro hodnocení stavu, protože vždy záleží na výchozím stavu lokality a přítomnost ohrožených druhů není nutnou podmínkou dobrého stavu. </w:t>
      </w:r>
    </w:p>
    <w:p>
      <w:pPr>
        <w:pStyle w:val="Normal"/>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v EVL vážený celkovou rozlohou daného typu přírodního stanoviště v EVL včetně degradovaných segmentů a pasek (logaritmicky transformované). Z důvodu optimálního pokrytí desetibodové stupnice je výsledná hodnota vynásobena hodnotou 4. Je-li násobek výsledného parametru vyšší než 10, nahradí se jeho hodnota číslem 10 (maximum). </w:t>
      </w:r>
    </w:p>
    <w:p>
      <w:pPr>
        <w:pStyle w:val="Normal"/>
        <w:jc w:val="center"/>
        <w:rPr>
          <w:rFonts w:ascii="Times New Roman" w:hAnsi="Times New Roman"/>
          <w:b/>
          <w:b/>
          <w:sz w:val="24"/>
        </w:rPr>
      </w:pPr>
      <w:r>
        <w:rPr/>
      </w:r>
      <m:oMathPara xmlns:m="http://schemas.openxmlformats.org/officeDocument/2006/math">
        <m:oMathParaPr>
          <m:jc m:val="center"/>
        </m:oMathParaPr>
        <m:oMath>
          <m:r>
            <w:rPr>
              <w:rFonts w:ascii="Cambria Math" w:hAnsi="Cambria Math"/>
            </w:rPr>
            <m:t xml:space="preserve">ohrožené</m:t>
          </m:r>
          <m:r>
            <w:rPr>
              <w:rFonts w:ascii="Cambria Math" w:hAnsi="Cambria Math"/>
            </w:rPr>
            <m:t xml:space="preserve">druhy</m:t>
          </m:r>
          <m:r>
            <w:rPr>
              <w:rFonts w:ascii="Cambria Math" w:hAnsi="Cambria Math"/>
            </w:rPr>
            <m:t xml:space="preserve">=</m:t>
          </m:r>
          <m:f>
            <m:num>
              <m:sSub>
                <m:e>
                  <m:r>
                    <w:rPr>
                      <w:rFonts w:ascii="Cambria Math" w:hAnsi="Cambria Math"/>
                    </w:rPr>
                    <m:t xml:space="preserve">RL</m:t>
                  </m:r>
                </m:e>
                <m:sub>
                  <m:r>
                    <w:rPr>
                      <w:rFonts w:ascii="Cambria Math" w:hAnsi="Cambria Math"/>
                    </w:rPr>
                    <m:t xml:space="preserve">b</m:t>
                  </m:r>
                </m:sub>
              </m:sSub>
            </m:num>
            <m:den>
              <m:sSub>
                <m:e>
                  <m:r>
                    <w:rPr>
                      <w:rFonts w:ascii="Cambria Math" w:hAnsi="Cambria Math"/>
                    </w:rPr>
                    <m:t xml:space="preserve">log</m:t>
                  </m:r>
                </m:e>
                <m:sub>
                  <m:r>
                    <w:rPr>
                      <w:rFonts w:ascii="Cambria Math" w:hAnsi="Cambria Math"/>
                    </w:rPr>
                    <m:t xml:space="preserve">10</m:t>
                  </m:r>
                </m:sub>
              </m:sSub>
              <m:r>
                <w:rPr>
                  <w:rFonts w:ascii="Cambria Math" w:hAnsi="Cambria Math"/>
                </w:rPr>
                <m:t xml:space="preserve">plocha</m:t>
              </m:r>
              <m:r>
                <w:rPr>
                  <w:rFonts w:ascii="Cambria Math" w:hAnsi="Cambria Math"/>
                </w:rPr>
                <m:t xml:space="preserve">stanoviště</m:t>
              </m:r>
            </m:den>
          </m:f>
          <m:r>
            <w:rPr>
              <w:rFonts w:ascii="Cambria Math" w:hAnsi="Cambria Math"/>
            </w:rPr>
            <m:t xml:space="preserve">×</m:t>
          </m:r>
          <m:r>
            <w:rPr>
              <w:rFonts w:ascii="Cambria Math" w:hAnsi="Cambria Math"/>
            </w:rPr>
            <m:t xml:space="preserve">4</m:t>
          </m:r>
        </m:oMath>
      </m:oMathPara>
    </w:p>
    <w:p>
      <w:pPr>
        <w:pStyle w:val="Normal"/>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 </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 Dosud ne zcela provázané číselníky ve zdrojových databázích by měly být sjednoceny podle nomenklatury použité v novém klíči (měla by být blízká poslední verzi červeného seznamu, Grulich 2012). </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Invazní druhy</w:t>
      </w:r>
      <w:r>
        <w:rPr/>
        <w:t xml:space="preserve"> </w:t>
      </w:r>
      <w:r>
        <w:rPr>
          <w:rFonts w:ascii="Times New Roman" w:hAnsi="Times New Roman"/>
          <w:b/>
          <w:i/>
          <w:sz w:val="24"/>
          <w:szCs w:val="28"/>
        </w:rPr>
        <w:t xml:space="preserve">cévnatých rostlin </w:t>
      </w:r>
    </w:p>
    <w:p>
      <w:pPr>
        <w:pStyle w:val="Normal"/>
        <w:jc w:val="both"/>
        <w:rPr>
          <w:rFonts w:ascii="Times New Roman" w:hAnsi="Times New Roman"/>
          <w:sz w:val="24"/>
        </w:rPr>
      </w:pPr>
      <w:r>
        <w:rPr>
          <w:rFonts w:ascii="Times New Roman" w:hAnsi="Times New Roman"/>
          <w:sz w:val="24"/>
        </w:rPr>
        <w:t>Parametr výskytu invazních druhů, z nichž se část povinně zaznamenává při aktualizaci vrstvy mapování biotopů (Lustyk 202</w:t>
      </w:r>
      <w:ins w:id="41" w:author="Martin Vojík" w:date="2024-09-04T12:29:00Z">
        <w:r>
          <w:rPr>
            <w:rFonts w:ascii="Times New Roman" w:hAnsi="Times New Roman"/>
            <w:sz w:val="24"/>
          </w:rPr>
          <w:t>4</w:t>
        </w:r>
      </w:ins>
      <w:ins w:id="42" w:author="Martin Vojík" w:date="2024-09-04T12:58:00Z">
        <w:r>
          <w:rPr>
            <w:rFonts w:ascii="Times New Roman" w:hAnsi="Times New Roman"/>
            <w:sz w:val="24"/>
          </w:rPr>
          <w:t>a</w:t>
        </w:r>
      </w:ins>
      <w:del w:id="43" w:author="Martin Vojík" w:date="2024-09-04T12:29:00Z">
        <w:r>
          <w:rPr>
            <w:rFonts w:ascii="Times New Roman" w:hAnsi="Times New Roman"/>
            <w:sz w:val="24"/>
          </w:rPr>
          <w:delText>0</w:delText>
        </w:r>
      </w:del>
      <w:r>
        <w:rPr>
          <w:rFonts w:ascii="Times New Roman" w:hAnsi="Times New Roman"/>
          <w:sz w:val="24"/>
        </w:rPr>
        <w:t xml:space="preserve">), indikuje míru narušení a degradace stanoviště. </w:t>
      </w:r>
    </w:p>
    <w:p>
      <w:pPr>
        <w:pStyle w:val="Normal"/>
        <w:jc w:val="both"/>
        <w:rPr>
          <w:rFonts w:ascii="Times New Roman" w:hAnsi="Times New Roman"/>
          <w:i/>
          <w:i/>
          <w:sz w:val="24"/>
        </w:rPr>
      </w:pPr>
      <w:commentRangeStart w:id="10"/>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 výskytem invazních druhů cévnatých rostlin uvedených v příloze 2 Metodiky aktualizace vrstvy mapování biotopů (Lustyk, 202</w:t>
      </w:r>
      <w:ins w:id="44" w:author="Martin Vojík" w:date="2024-09-04T12:29:00Z">
        <w:r>
          <w:rPr>
            <w:rFonts w:ascii="Times New Roman" w:hAnsi="Times New Roman"/>
            <w:sz w:val="24"/>
          </w:rPr>
          <w:t>4</w:t>
        </w:r>
      </w:ins>
      <w:del w:id="45" w:author="Martin Vojík" w:date="2024-09-04T12:29:00Z">
        <w:r>
          <w:rPr>
            <w:rFonts w:ascii="Times New Roman" w:hAnsi="Times New Roman"/>
            <w:sz w:val="24"/>
          </w:rPr>
          <w:delText>0</w:delText>
        </w:r>
      </w:del>
      <w:r>
        <w:rPr>
          <w:rFonts w:ascii="Times New Roman" w:hAnsi="Times New Roman"/>
          <w:sz w:val="24"/>
        </w:rPr>
        <w:t>) a zároveň dalších nepůvodních druhů, které jsou součástí Černého, šedého a varovného seznamu (Pergl et al. 2016). Výsledná hodnota pro daný typ stanoviště se rovná maximální hodnotě škály (= 100 %) snížené o plochu stanoviště v dané EVL, dle vzorce:</w:t>
      </w:r>
      <w:commentRangeEnd w:id="10"/>
      <w:r>
        <w:commentReference w:id="10"/>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invazní</m:t>
          </m:r>
          <m:r>
            <w:rPr>
              <w:rFonts w:ascii="Cambria Math" w:hAnsi="Cambria Math"/>
            </w:rPr>
            <m:t xml:space="preserve">druhy</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výskytem</m:t>
                  </m:r>
                  <m:r>
                    <w:rPr>
                      <w:rFonts w:ascii="Cambria Math" w:hAnsi="Cambria Math"/>
                    </w:rPr>
                    <m:t xml:space="preserve">ID</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expanzivních druhů.</w:t>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Expanzivní druhy</w:t>
      </w:r>
      <w:r>
        <w:rPr/>
        <w:t xml:space="preserve"> </w:t>
      </w:r>
      <w:r>
        <w:rPr>
          <w:rFonts w:ascii="Times New Roman" w:hAnsi="Times New Roman"/>
          <w:b/>
          <w:i/>
          <w:sz w:val="24"/>
          <w:szCs w:val="28"/>
        </w:rPr>
        <w:t>cévnatých rostlin</w:t>
      </w:r>
    </w:p>
    <w:p>
      <w:pPr>
        <w:pStyle w:val="Normal"/>
        <w:jc w:val="both"/>
        <w:rPr>
          <w:rFonts w:ascii="Times New Roman" w:hAnsi="Times New Roman"/>
          <w:sz w:val="24"/>
        </w:rPr>
      </w:pPr>
      <w:r>
        <w:rPr>
          <w:rFonts w:ascii="Times New Roman" w:hAnsi="Times New Roman"/>
          <w:sz w:val="24"/>
        </w:rPr>
        <w:t>Parametr výskytu expanzivních druhů indikuje míru narušení a degradace stanoviště. Expanzivní druhy mají, zejména ve vazbě na konkrétní biotopy, zpravidla vysoký potenciál šíření. Pro stanovení míry degradace stanovišť expanzivními druhy je nezbytné zohlednit pokryvnost jednotlivých druhů, která je zaznamenávána v rámci mapování pro aktualizaci VMB. Druhy budou chápány jako expanzivní v případě, že budou v území tvořit dominantu (pokryvnost ve VMB klasifikována jako 3, 4 nebo 5).</w:t>
      </w:r>
    </w:p>
    <w:p>
      <w:pPr>
        <w:pStyle w:val="Normal"/>
        <w:jc w:val="both"/>
        <w:rPr>
          <w:rFonts w:ascii="Times New Roman" w:hAnsi="Times New Roman"/>
          <w:i/>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stanoviště s významným výskytem nativních expanzivních druhů uvedených v příloze 3</w:t>
      </w:r>
      <w:ins w:id="46" w:author="Martin Vojík" w:date="2024-09-04T10:02:00Z">
        <w:r>
          <w:rPr>
            <w:rFonts w:ascii="Times New Roman" w:hAnsi="Times New Roman"/>
            <w:sz w:val="24"/>
          </w:rPr>
          <w:t xml:space="preserve"> tohoto dokumentu</w:t>
        </w:r>
      </w:ins>
      <w:r>
        <w:rPr>
          <w:rFonts w:ascii="Times New Roman" w:hAnsi="Times New Roman"/>
          <w:sz w:val="24"/>
        </w:rPr>
        <w:t xml:space="preserve"> (příloha bude ve spolupráci s odborníky doplňována o vazbu druhů na konkrétní biotopy), které mají obdobný dopad na přírodní stanoviště, jako druhy invazní. Výsledná hodnota pro daný typ stanoviště se rovná maximální hodnotě škály (= 100 %) snížené o plochu stanoviště s výrazným zastoupením expanzivních druhů k celkové ploše stanoviště v rámci dané EVL, dle vzorce:</w:t>
      </w:r>
    </w:p>
    <w:p>
      <w:pPr>
        <w:pStyle w:val="Normal"/>
        <w:jc w:val="center"/>
        <w:rPr/>
      </w:pPr>
      <w:r>
        <w:rPr/>
      </w:r>
      <m:oMathPara xmlns:m="http://schemas.openxmlformats.org/officeDocument/2006/math">
        <m:oMathParaPr>
          <m:jc m:val="center"/>
        </m:oMathParaPr>
        <m:oMath>
          <m:r>
            <w:rPr>
              <w:rFonts w:ascii="Cambria Math" w:hAnsi="Cambria Math"/>
            </w:rPr>
            <m:t xml:space="preserve">expanzivní</m:t>
          </m:r>
          <m:r>
            <w:rPr>
              <w:rFonts w:ascii="Cambria Math" w:hAnsi="Cambria Math"/>
            </w:rPr>
            <m:t xml:space="preserve">druhy</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význačným</m:t>
                  </m:r>
                  <m:r>
                    <w:rPr>
                      <w:rFonts w:ascii="Cambria Math" w:hAnsi="Cambria Math"/>
                    </w:rPr>
                    <m:t xml:space="preserve">výskytem</m:t>
                  </m:r>
                  <m:r>
                    <w:rPr>
                      <w:rFonts w:ascii="Cambria Math" w:hAnsi="Cambria Math"/>
                    </w:rPr>
                    <m:t xml:space="preserve">ED</m:t>
                  </m:r>
                </m:sub>
              </m:sSub>
            </m:num>
            <m:den>
              <m:sSub>
                <m:e>
                  <m:r>
                    <w:rPr>
                      <w:rFonts w:ascii="Cambria Math" w:hAnsi="Cambria Math"/>
                    </w:rPr>
                    <m:t xml:space="preserve">plocha</m:t>
                  </m:r>
                </m:e>
                <m:sub>
                  <m:r>
                    <w:rPr>
                      <w:rFonts w:ascii="Cambria Math" w:hAnsi="Cambria Math"/>
                    </w:rPr>
                    <m:t xml:space="preserve">stanoviště</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szCs w:val="24"/>
        </w:rPr>
      </w:pPr>
      <w:r>
        <w:rPr>
          <w:rFonts w:ascii="Times New Roman" w:hAnsi="Times New Roman"/>
          <w:b/>
          <w:sz w:val="24"/>
        </w:rPr>
        <w:t xml:space="preserve">Očekávané problémy </w:t>
      </w:r>
      <w:r>
        <w:rPr>
          <w:rFonts w:ascii="Times New Roman" w:hAnsi="Times New Roman"/>
          <w:sz w:val="24"/>
        </w:rPr>
        <w:t>–</w:t>
      </w:r>
      <w:r>
        <w:rPr>
          <w:rFonts w:cs="Times New Roman" w:ascii="Times New Roman" w:hAnsi="Times New Roman"/>
          <w:sz w:val="24"/>
        </w:rPr>
        <w:t xml:space="preserve"> </w:t>
      </w:r>
      <w:r>
        <w:rPr>
          <w:rFonts w:cs="Times New Roman" w:ascii="Times New Roman" w:hAnsi="Times New Roman"/>
          <w:sz w:val="24"/>
          <w:szCs w:val="24"/>
        </w:rPr>
        <w:t>zdržení implementace seznamu expanzivních druhů do metodiky aktualizace vrstvy mapování biotopů a tedy i následného sběru samotných dat</w:t>
      </w:r>
      <w:r>
        <w:rPr>
          <w:rFonts w:ascii="Times New Roman" w:hAnsi="Times New Roman"/>
          <w:sz w:val="24"/>
          <w:szCs w:val="24"/>
        </w:rPr>
        <w:t>.</w:t>
      </w:r>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Mrtvé dřevo (pouze pro lesní stanoviště)</w:t>
      </w:r>
    </w:p>
    <w:p>
      <w:pPr>
        <w:pStyle w:val="Normal"/>
        <w:spacing w:before="0" w:after="0"/>
        <w:jc w:val="both"/>
        <w:rPr>
          <w:rFonts w:ascii="Times New Roman" w:hAnsi="Times New Roman"/>
          <w:sz w:val="24"/>
        </w:rPr>
      </w:pPr>
      <w:r>
        <w:rPr>
          <w:rFonts w:ascii="Times New Roman" w:hAnsi="Times New Roman"/>
          <w:sz w:val="24"/>
        </w:rPr>
        <w:t>Mrtvé dřevo charakterizuje stav a stupeň přirozenost</w:t>
      </w:r>
      <w:ins w:id="47" w:author="Martin Vojík" w:date="2024-09-04T09:51:00Z">
        <w:r>
          <w:rPr>
            <w:rFonts w:ascii="Times New Roman" w:hAnsi="Times New Roman"/>
            <w:sz w:val="24"/>
          </w:rPr>
          <w:t>i</w:t>
        </w:r>
      </w:ins>
      <w:r>
        <w:rPr>
          <w:rFonts w:ascii="Times New Roman" w:hAnsi="Times New Roman"/>
          <w:sz w:val="24"/>
        </w:rPr>
        <w:t xml:space="preserve"> stanoviště, jeho zachovalost a reprezentativnost. Parametr vychází z </w:t>
      </w:r>
      <w:del w:id="48" w:author="Martin Vojík" w:date="2024-09-04T11:56:00Z">
        <w:r>
          <w:rPr>
            <w:rFonts w:ascii="Times New Roman" w:hAnsi="Times New Roman"/>
            <w:sz w:val="24"/>
          </w:rPr>
          <w:delText>Příručky hodnocení biotopů</w:delText>
        </w:r>
      </w:del>
      <w:ins w:id="49" w:author="Martin Vojík" w:date="2024-09-04T11:56:00Z">
        <w:r>
          <w:rPr>
            <w:rFonts w:ascii="Times New Roman" w:hAnsi="Times New Roman"/>
            <w:sz w:val="24"/>
          </w:rPr>
          <w:t>PHB</w:t>
        </w:r>
      </w:ins>
      <w:r>
        <w:rPr>
          <w:rFonts w:ascii="Times New Roman" w:hAnsi="Times New Roman"/>
          <w:sz w:val="24"/>
        </w:rPr>
        <w:t xml:space="preserve"> (Lustyk </w:t>
      </w:r>
      <w:del w:id="50" w:author="Martin Vojík" w:date="2024-09-04T12:26:00Z">
        <w:r>
          <w:rPr>
            <w:rFonts w:ascii="Times New Roman" w:hAnsi="Times New Roman"/>
            <w:sz w:val="24"/>
          </w:rPr>
          <w:delText>2015</w:delText>
        </w:r>
      </w:del>
      <w:ins w:id="51" w:author="Martin Vojík" w:date="2024-09-04T12:26:00Z">
        <w:r>
          <w:rPr>
            <w:rFonts w:ascii="Times New Roman" w:hAnsi="Times New Roman"/>
            <w:sz w:val="24"/>
          </w:rPr>
          <w:t>2024</w:t>
        </w:r>
      </w:ins>
      <w:ins w:id="52" w:author="Martin Vojík" w:date="2024-09-04T12:58:00Z">
        <w:r>
          <w:rPr>
            <w:rFonts w:ascii="Times New Roman" w:hAnsi="Times New Roman"/>
            <w:sz w:val="24"/>
          </w:rPr>
          <w:t>b</w:t>
        </w:r>
      </w:ins>
      <w:r>
        <w:rPr>
          <w:rFonts w:ascii="Times New Roman" w:hAnsi="Times New Roman"/>
          <w:sz w:val="24"/>
        </w:rPr>
        <w:t>).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 stojící nebo padlé mrtvé dřevo), 1 (roztroušeně stojící nebo padlé mrtvé dřevo) a 0 (mrtvé dřevo žádné nebo v zanedbatelném množství. Do výpočtu parametru vstupuje plocha stanoviště v degradovaném stavu (W) a pasek, jejich ploše je automaticky přiřazena hodnota 0. </w:t>
      </w:r>
    </w:p>
    <w:p>
      <w:pPr>
        <w:pStyle w:val="Normal"/>
        <w:spacing w:before="120" w:after="0"/>
        <w:jc w:val="center"/>
        <w:rPr>
          <w:rFonts w:ascii="Times New Roman" w:hAnsi="Times New Roman"/>
          <w:i/>
          <w:i/>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0"/>
        <w:jc w:val="center"/>
        <w:rPr>
          <w:rFonts w:ascii="Times New Roman" w:hAnsi="Times New Roman"/>
          <w:i/>
          <w:i/>
        </w:rPr>
      </w:pPr>
      <w:r>
        <w:rPr>
          <w:rFonts w:ascii="Times New Roman" w:hAnsi="Times New Roman"/>
          <w:i/>
        </w:rPr>
      </w:r>
    </w:p>
    <w:p>
      <w:pPr>
        <w:pStyle w:val="Normal"/>
        <w:spacing w:before="120" w:after="0"/>
        <w:jc w:val="both"/>
        <w:rPr>
          <w:rFonts w:ascii="Times New Roman" w:hAnsi="Times New Roman"/>
          <w:sz w:val="24"/>
        </w:rPr>
      </w:pPr>
      <w:r>
        <w:rPr>
          <w:rFonts w:ascii="Times New Roman" w:hAnsi="Times New Roman"/>
          <w:sz w:val="24"/>
        </w:rPr>
        <w:t>Hodnocení je doplněno o parametr kalamita/polom, který vyjadřuje budoucí potenciál výskytu mrtvého dřeva na lokalitě: 3 (les po kalamitě</w:t>
      </w:r>
      <w:ins w:id="53" w:author="Martin Vojík" w:date="2024-09-04T10:23:00Z">
        <w:r>
          <w:rPr>
            <w:rFonts w:ascii="Times New Roman" w:hAnsi="Times New Roman"/>
            <w:sz w:val="24"/>
          </w:rPr>
          <w:t xml:space="preserve">, </w:t>
        </w:r>
      </w:ins>
      <w:del w:id="54" w:author="Martin Vojík" w:date="2024-09-04T10:23:00Z">
        <w:r>
          <w:rPr>
            <w:rFonts w:ascii="Times New Roman" w:hAnsi="Times New Roman"/>
            <w:sz w:val="24"/>
          </w:rPr>
          <w:delText xml:space="preserve"> (</w:delText>
        </w:r>
      </w:del>
      <w:r>
        <w:rPr>
          <w:rFonts w:ascii="Times New Roman" w:hAnsi="Times New Roman"/>
          <w:sz w:val="24"/>
        </w:rPr>
        <w:t>např. kůrovcová, imisní, les po požáru, apod.</w:t>
      </w:r>
      <w:del w:id="55" w:author="Martin Vojík" w:date="2024-09-04T10:23:00Z">
        <w:r>
          <w:rPr>
            <w:rFonts w:ascii="Times New Roman" w:hAnsi="Times New Roman"/>
            <w:sz w:val="24"/>
          </w:rPr>
          <w:delText>)</w:delText>
        </w:r>
      </w:del>
      <w:r>
        <w:rPr>
          <w:rFonts w:ascii="Times New Roman" w:hAnsi="Times New Roman"/>
          <w:sz w:val="24"/>
        </w:rPr>
        <w:t xml:space="preserve">) = </w:t>
      </w:r>
      <w:commentRangeStart w:id="11"/>
      <w:r>
        <w:rPr>
          <w:rFonts w:ascii="Times New Roman" w:hAnsi="Times New Roman"/>
          <w:sz w:val="24"/>
        </w:rPr>
        <w:t xml:space="preserve">2, 4 </w:t>
      </w:r>
      <w:r>
        <w:rPr>
          <w:rFonts w:ascii="Times New Roman" w:hAnsi="Times New Roman"/>
          <w:sz w:val="24"/>
        </w:rPr>
      </w:r>
      <w:commentRangeEnd w:id="11"/>
      <w:r>
        <w:commentReference w:id="11"/>
      </w:r>
      <w:r>
        <w:rPr>
          <w:rFonts w:ascii="Times New Roman" w:hAnsi="Times New Roman"/>
          <w:sz w:val="24"/>
        </w:rPr>
        <w:t xml:space="preserve">(polom) = </w:t>
      </w:r>
      <w:commentRangeStart w:id="12"/>
      <w:r>
        <w:rPr>
          <w:rFonts w:ascii="Times New Roman" w:hAnsi="Times New Roman"/>
          <w:sz w:val="24"/>
        </w:rPr>
        <w:t>2</w:t>
      </w:r>
      <w:r>
        <w:rPr>
          <w:rFonts w:ascii="Times New Roman" w:hAnsi="Times New Roman"/>
          <w:sz w:val="24"/>
        </w:rPr>
      </w:r>
      <w:commentRangeEnd w:id="12"/>
      <w:r>
        <w:commentReference w:id="12"/>
      </w:r>
      <w:r>
        <w:rPr>
          <w:rFonts w:ascii="Times New Roman" w:hAnsi="Times New Roman"/>
          <w:sz w:val="24"/>
        </w:rPr>
        <w:t xml:space="preserve"> a 0 (mrtvé dřevo žádné nebo v zanedbatelném množství) = 0. Tento doplňkový parametr umožňuje sledování způsobu nakládání s kalamitním dřevem. Do výpočtu parametru vstupuje plocha stanoviště v degradovaném stavu (W) a pasek, jejich ploše je automaticky přiřazena hodnota 0.</w:t>
      </w:r>
    </w:p>
    <w:p>
      <w:pPr>
        <w:pStyle w:val="Normal"/>
        <w:spacing w:before="0" w:after="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pPr>
        <w:pStyle w:val="Normal"/>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120" w:after="12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szCs w:val="24"/>
        </w:rPr>
      </w:pPr>
      <w:commentRangeStart w:id="13"/>
      <w:commentRangeStart w:id="14"/>
      <w:r>
        <w:rPr>
          <w:rFonts w:ascii="Times New Roman" w:hAnsi="Times New Roman"/>
          <w:b/>
          <w:sz w:val="24"/>
          <w:szCs w:val="24"/>
        </w:rPr>
        <w:t>5. Hodnocení stavu stanoviště</w:t>
      </w:r>
      <w:r>
        <w:rPr>
          <w:rFonts w:ascii="Times New Roman" w:hAnsi="Times New Roman"/>
          <w:b/>
          <w:sz w:val="24"/>
          <w:szCs w:val="24"/>
        </w:rPr>
      </w:r>
      <w:commentRangeEnd w:id="14"/>
      <w:r>
        <w:commentReference w:id="14"/>
      </w:r>
      <w:commentRangeEnd w:id="13"/>
      <w:r>
        <w:commentReference w:id="13"/>
      </w:r>
      <w:r>
        <w:rPr>
          <w:rFonts w:ascii="Times New Roman" w:hAnsi="Times New Roman"/>
          <w:b/>
          <w:sz w:val="24"/>
          <w:szCs w:val="24"/>
        </w:rPr>
      </w:r>
    </w:p>
    <w:p>
      <w:pPr>
        <w:pStyle w:val="Normal"/>
        <w:spacing w:before="120" w:after="0"/>
        <w:jc w:val="both"/>
        <w:rPr>
          <w:rFonts w:ascii="Times New Roman" w:hAnsi="Times New Roman"/>
          <w:sz w:val="24"/>
        </w:rPr>
      </w:pPr>
      <w:r>
        <w:rPr>
          <w:rFonts w:ascii="Times New Roman" w:hAnsi="Times New Roman"/>
          <w:sz w:val="24"/>
        </w:rPr>
        <w:t xml:space="preserve">Pro potřeby ověření byly sestaveny souhrnné tabulky shrnující data z aVMB z roku 2022 a základního mapování biotopů. V tabulce lze také vyfiltrovat stav všech stanovišť v konkrétní EVL, či stav konkrétního stanoviště ve všech EVL, a zobrazit jejich hodnocení. </w:t>
      </w:r>
    </w:p>
    <w:p>
      <w:pPr>
        <w:pStyle w:val="Normal"/>
        <w:spacing w:before="0" w:after="120"/>
        <w:jc w:val="both"/>
        <w:rPr>
          <w:rFonts w:ascii="Times New Roman" w:hAnsi="Times New Roman"/>
          <w:sz w:val="24"/>
        </w:rPr>
      </w:pPr>
      <w:r>
        <w:rPr>
          <w:rFonts w:ascii="Times New Roman" w:hAnsi="Times New Roman"/>
          <w:sz w:val="24"/>
        </w:rPr>
        <w:t xml:space="preserve">Výsledky sledování stavu jsou při hodnocení v případě rozlohy stanoviště a jeho kvality vztaženy k hodnotám cílového stavu. 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Stav předmětného stanoviště v EVL nabývá jednu ze čtyř hodnot: dobrý, zhoršený, špatný, neznámý. Stanoviště je v dobrém stavu, pokud jsou oba parametry hodnoceny kladně. Stanoviště je ve zhoršeném stavu, pokud je pouze jeden z parametrů hodnocen pozitivně, a ve špatném stavu, pokud jsou oba klíčové parametry hodnoceny negativně. Stav je neznámý, pokud pro hodnocené období nejsou k dispozici žádná data. </w:t>
      </w:r>
    </w:p>
    <w:p>
      <w:pPr>
        <w:pStyle w:val="Normal"/>
        <w:spacing w:before="0" w:after="120"/>
        <w:jc w:val="both"/>
        <w:rPr>
          <w:rFonts w:ascii="Times New Roman" w:hAnsi="Times New Roman"/>
          <w:sz w:val="24"/>
          <w:ins w:id="56" w:author="Martin Vojík" w:date="2024-09-04T10:27:00Z"/>
        </w:rPr>
      </w:pPr>
      <w:r>
        <w:rPr>
          <w:rFonts w:ascii="Times New Roman" w:hAnsi="Times New Roman"/>
          <w:sz w:val="24"/>
        </w:rPr>
        <w:t xml:space="preserve">U ostatních parametrů, které indikují vývoj stanoviště na lokalitě a slouží k nastavení péče o stanoviště, je sledován trend mezi jednotlivými obdobími aktualizace dat. U parametrů indikujících vývoj (typické druhy, minimiareál, mozaika, druhy červeného seznamu, invazní druhy, expanzivní druhy a pro lesní stanoviště mrtvé dřevo je sledován pouze jejich trend a nevstupují do celkového hodnocení lokality. </w:t>
      </w:r>
    </w:p>
    <w:p>
      <w:pPr>
        <w:pStyle w:val="Normal"/>
        <w:spacing w:before="0" w:after="120"/>
        <w:jc w:val="both"/>
        <w:rPr>
          <w:rFonts w:ascii="Times New Roman" w:hAnsi="Times New Roman"/>
          <w:sz w:val="24"/>
        </w:rPr>
      </w:pPr>
      <w:r>
        <w:rPr>
          <w:rFonts w:ascii="Times New Roman" w:hAnsi="Times New Roman"/>
          <w:sz w:val="24"/>
        </w:rPr>
      </w:r>
    </w:p>
    <w:p>
      <w:pPr>
        <w:pStyle w:val="Normal"/>
        <w:spacing w:before="120" w:after="0"/>
        <w:jc w:val="both"/>
        <w:pPrChange w:id="0" w:author="Martin Vojík" w:date="2024-09-04T10:27:00Z">
          <w:pPr>
            <w:jc w:val="both"/>
            <w:spacing w:before="0" w:after="120"/>
          </w:pPr>
        </w:pPrChange>
        <w:rPr>
          <w:rFonts w:ascii="Times New Roman" w:hAnsi="Times New Roman"/>
          <w:b/>
          <w:b/>
          <w:sz w:val="24"/>
          <w:del w:id="57" w:author="Martin Vojík" w:date="2024-09-04T10:27:00Z"/>
        </w:rPr>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Další možnosti rozšíření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zprávy, v případě výrazně odlišných územně specifických potřeb lze hodnocení filtrovat až na úroveň kraje. Přidáním příslušného filtru lze rovněž hodnotit komplexní EVL s velkou rozlohou. </w:t>
      </w:r>
    </w:p>
    <w:p>
      <w:pPr>
        <w:pStyle w:val="Normal"/>
        <w:spacing w:before="120" w:after="0"/>
        <w:jc w:val="both"/>
        <w:rPr>
          <w:rFonts w:ascii="Times New Roman" w:hAnsi="Times New Roman"/>
          <w:sz w:val="24"/>
          <w:ins w:id="59" w:author="Martin Vojík" w:date="2024-09-04T10:27:00Z"/>
        </w:rPr>
      </w:pPr>
      <w:ins w:id="58" w:author="Martin Vojík" w:date="2024-09-04T10:27:00Z">
        <w:r>
          <w:rPr>
            <w:rFonts w:ascii="Times New Roman" w:hAnsi="Times New Roman"/>
            <w:sz w:val="24"/>
          </w:rPr>
        </w:r>
      </w:ins>
    </w:p>
    <w:p>
      <w:pPr>
        <w:pStyle w:val="Normal"/>
        <w:spacing w:before="120" w:after="0"/>
        <w:jc w:val="both"/>
        <w:pPrChange w:id="0" w:author="Martin Vojík" w:date="2024-09-04T10:27:00Z">
          <w:pPr>
            <w:jc w:val="both"/>
            <w:spacing w:before="0" w:after="120"/>
          </w:pPr>
        </w:pPrChange>
        <w:rPr>
          <w:rFonts w:ascii="Times New Roman" w:hAnsi="Times New Roman"/>
          <w:b/>
          <w:b/>
          <w:sz w:val="24"/>
        </w:rPr>
      </w:pPr>
      <w:r>
        <w:rPr>
          <w:rFonts w:ascii="Times New Roman" w:hAnsi="Times New Roman"/>
          <w:b/>
          <w:sz w:val="24"/>
        </w:rPr>
      </w:r>
    </w:p>
    <w:p>
      <w:pPr>
        <w:pStyle w:val="Normal"/>
        <w:spacing w:before="0" w:after="120"/>
        <w:jc w:val="both"/>
        <w:rPr>
          <w:rFonts w:ascii="Times New Roman" w:hAnsi="Times New Roman"/>
          <w:b/>
          <w:b/>
          <w:sz w:val="24"/>
        </w:rPr>
      </w:pPr>
      <w:r>
        <w:rPr>
          <w:rFonts w:ascii="Times New Roman" w:hAnsi="Times New Roman"/>
          <w:b/>
          <w:sz w:val="24"/>
        </w:rPr>
        <w:t>Krizový hlásič</w:t>
      </w:r>
    </w:p>
    <w:p>
      <w:pPr>
        <w:pStyle w:val="Normal"/>
        <w:spacing w:before="0"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pPr>
        <w:pStyle w:val="Normal"/>
        <w:spacing w:before="0" w:after="120"/>
        <w:jc w:val="both"/>
        <w:rPr/>
      </w:pPr>
      <w:r>
        <w:rPr/>
      </w:r>
    </w:p>
    <w:p>
      <w:pPr>
        <w:pStyle w:val="Normal"/>
        <w:spacing w:before="0" w:after="120"/>
        <w:jc w:val="both"/>
        <w:rPr>
          <w:rFonts w:ascii="Times New Roman" w:hAnsi="Times New Roman"/>
          <w:b/>
          <w:b/>
          <w:sz w:val="24"/>
        </w:rPr>
      </w:pPr>
      <w:r>
        <w:rPr>
          <w:rFonts w:ascii="Times New Roman" w:hAnsi="Times New Roman"/>
          <w:b/>
          <w:sz w:val="24"/>
        </w:rPr>
        <w:t>Vlivy a management</w:t>
      </w:r>
    </w:p>
    <w:p>
      <w:pPr>
        <w:pStyle w:val="Normal"/>
        <w:spacing w:before="0"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pPr>
        <w:pStyle w:val="Normal"/>
        <w:spacing w:before="0" w:after="120"/>
        <w:jc w:val="both"/>
        <w:rPr>
          <w:rFonts w:ascii="Times New Roman" w:hAnsi="Times New Roman"/>
          <w:b/>
          <w:b/>
          <w:sz w:val="24"/>
          <w:szCs w:val="24"/>
        </w:rPr>
      </w:pPr>
      <w:r>
        <w:rPr>
          <w:rFonts w:ascii="Times New Roman" w:hAnsi="Times New Roman"/>
          <w:b/>
          <w:sz w:val="24"/>
          <w:szCs w:val="24"/>
        </w:rPr>
      </w:r>
    </w:p>
    <w:p>
      <w:pPr>
        <w:pStyle w:val="Normal"/>
        <w:spacing w:before="0" w:after="120"/>
        <w:jc w:val="both"/>
        <w:rPr>
          <w:rFonts w:ascii="Times New Roman" w:hAnsi="Times New Roman"/>
          <w:b/>
          <w:b/>
          <w:sz w:val="24"/>
          <w:szCs w:val="24"/>
        </w:rPr>
      </w:pPr>
      <w:r>
        <w:rPr>
          <w:rFonts w:ascii="Times New Roman" w:hAnsi="Times New Roman"/>
          <w:b/>
          <w:sz w:val="24"/>
          <w:szCs w:val="24"/>
        </w:rPr>
        <w:t>Literatura</w:t>
      </w:r>
    </w:p>
    <w:p>
      <w:pPr>
        <w:pStyle w:val="Normal"/>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Härtel H., Lončáková J. &amp; Hošek M. [eds] (2009): Mapování biotopů v České republice. Východiska, výsledky, perspektivy. – Agentura ochrany přírody a krajiny ČR, Praha.</w:t>
      </w:r>
    </w:p>
    <w:p>
      <w:pPr>
        <w:pStyle w:val="NormalWeb"/>
        <w:spacing w:before="280" w:after="280"/>
        <w:rPr>
          <w:rFonts w:ascii="Times New Roman" w:hAnsi="Times New Roman" w:cs="Times New Roman"/>
          <w:sz w:val="24"/>
          <w:szCs w:val="24"/>
          <w:del w:id="61" w:author="Martin Vojík" w:date="2024-09-04T13:16:00Z"/>
        </w:rPr>
      </w:pPr>
      <w:del w:id="60" w:author="Martin Vojík" w:date="2024-09-04T13:16:00Z">
        <w:r>
          <w:rPr>
            <w:rFonts w:cs="Times New Roman" w:ascii="Times New Roman" w:hAnsi="Times New Roman"/>
            <w:sz w:val="24"/>
            <w:szCs w:val="24"/>
          </w:rPr>
          <w:delText>Chytrý M., Kučera T. &amp; Kočí M. [eds] (2001): Katalog biotopů České republiky. Interpretační příručka k evropským programům Natura 2000 a Smaragd. – Agentura ochrany přírody a krajiny ČR, Praha.</w:delText>
        </w:r>
      </w:del>
    </w:p>
    <w:p>
      <w:pPr>
        <w:pStyle w:val="NormalWeb"/>
        <w:spacing w:before="280" w:after="280"/>
        <w:rPr>
          <w:rFonts w:ascii="Times New Roman" w:hAnsi="Times New Roman" w:cs="Times New Roman"/>
          <w:sz w:val="24"/>
          <w:szCs w:val="24"/>
          <w:ins w:id="62" w:author="Martin Vojík" w:date="2024-09-04T13:02:00Z"/>
        </w:rPr>
      </w:pPr>
      <w:r>
        <w:rPr>
          <w:rFonts w:cs="Times New Roman" w:ascii="Times New Roman" w:hAnsi="Times New Roman"/>
          <w:sz w:val="24"/>
          <w:szCs w:val="24"/>
        </w:rPr>
        <w:t>Chytrý M., Kučera T., Kočí M., Grulich V. &amp; Lustyk P. [eds] (2010): Katalog biotopů České republiky, Ed. 2. – Agentura ochrany přírody a krajiny ČR, Praha.</w:t>
      </w:r>
    </w:p>
    <w:p>
      <w:pPr>
        <w:pStyle w:val="NormalWeb"/>
        <w:spacing w:before="280" w:after="280"/>
        <w:rPr>
          <w:rFonts w:ascii="Times New Roman" w:hAnsi="Times New Roman" w:cs="Times New Roman"/>
          <w:sz w:val="24"/>
          <w:szCs w:val="24"/>
        </w:rPr>
      </w:pPr>
      <w:ins w:id="63" w:author="Martin Vojík" w:date="2024-09-04T13:02:00Z">
        <w:r>
          <w:rPr>
            <w:rFonts w:cs="Times New Roman" w:ascii="Times New Roman" w:hAnsi="Times New Roman"/>
            <w:sz w:val="24"/>
            <w:szCs w:val="24"/>
          </w:rPr>
          <w:t>Kučera T., Čížek L., Hofmeister J., Hošek J., Kloubcová P., Kučerová A., Malíček J., Svoboda T. &amp; Zítková I. (2016): Metodika sledování stavu předmětů ochrany evropsky významných lokalit</w:t>
        </w:r>
      </w:ins>
      <w:ins w:id="64" w:author="Martin Vojík" w:date="2024-09-04T13:04:00Z">
        <w:r>
          <w:rPr>
            <w:rFonts w:cs="Times New Roman" w:ascii="Times New Roman" w:hAnsi="Times New Roman"/>
            <w:sz w:val="24"/>
            <w:szCs w:val="24"/>
          </w:rPr>
          <w:t xml:space="preserve"> – Ms., 827 p. [Depon in: Agentura ochrany přírody a krajiny ČR, Praha]</w:t>
        </w:r>
      </w:ins>
    </w:p>
    <w:p>
      <w:pPr>
        <w:pStyle w:val="NormalWeb"/>
        <w:spacing w:before="280" w:after="280"/>
        <w:rPr>
          <w:rFonts w:ascii="Times New Roman" w:hAnsi="Times New Roman" w:cs="Times New Roman"/>
          <w:sz w:val="24"/>
          <w:szCs w:val="24"/>
          <w:del w:id="68" w:author="Martin Vojík" w:date="2024-09-04T13:01:00Z"/>
        </w:rPr>
      </w:pPr>
      <w:del w:id="65" w:author="Martin Vojík" w:date="2024-09-04T13:01:00Z">
        <w:r>
          <w:rPr>
            <w:rFonts w:cs="Times New Roman" w:ascii="Times New Roman" w:hAnsi="Times New Roman"/>
            <w:sz w:val="24"/>
            <w:szCs w:val="24"/>
          </w:rPr>
          <w:delText>Lustyk P. [ed.] (20</w:delText>
        </w:r>
      </w:del>
      <w:del w:id="66" w:author="Martin Vojík" w:date="2024-09-04T12:30:00Z">
        <w:r>
          <w:rPr>
            <w:rFonts w:cs="Times New Roman" w:ascii="Times New Roman" w:hAnsi="Times New Roman"/>
            <w:sz w:val="24"/>
            <w:szCs w:val="24"/>
          </w:rPr>
          <w:delText>15</w:delText>
        </w:r>
      </w:del>
      <w:del w:id="67" w:author="Martin Vojík" w:date="2024-09-04T13:01:00Z">
        <w:r>
          <w:rPr>
            <w:rFonts w:cs="Times New Roman" w:ascii="Times New Roman" w:hAnsi="Times New Roman"/>
            <w:sz w:val="24"/>
            <w:szCs w:val="24"/>
          </w:rPr>
          <w:delText>): Příručka hodnocení biotopů. – Ms., 540 p. [Depon in: Agentura ochrany přírody a krajiny ČR, Praha]</w:delText>
        </w:r>
      </w:del>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(202</w:t>
      </w:r>
      <w:ins w:id="69" w:author="Martin Vojík" w:date="2024-09-04T12:30:00Z">
        <w:r>
          <w:rPr>
            <w:rFonts w:cs="Times New Roman" w:ascii="Times New Roman" w:hAnsi="Times New Roman"/>
            <w:sz w:val="24"/>
            <w:szCs w:val="24"/>
          </w:rPr>
          <w:t>4</w:t>
        </w:r>
      </w:ins>
      <w:ins w:id="70" w:author="Martin Vojík" w:date="2024-09-04T13:01:00Z">
        <w:r>
          <w:rPr>
            <w:rFonts w:cs="Times New Roman" w:ascii="Times New Roman" w:hAnsi="Times New Roman"/>
            <w:sz w:val="24"/>
            <w:szCs w:val="24"/>
          </w:rPr>
          <w:t>a</w:t>
        </w:r>
      </w:ins>
      <w:del w:id="71" w:author="Martin Vojík" w:date="2024-09-04T12:30:00Z">
        <w:r>
          <w:rPr>
            <w:rFonts w:cs="Times New Roman" w:ascii="Times New Roman" w:hAnsi="Times New Roman"/>
            <w:sz w:val="24"/>
            <w:szCs w:val="24"/>
          </w:rPr>
          <w:delText>0</w:delText>
        </w:r>
      </w:del>
      <w:r>
        <w:rPr>
          <w:rFonts w:cs="Times New Roman" w:ascii="Times New Roman" w:hAnsi="Times New Roman"/>
          <w:sz w:val="24"/>
          <w:szCs w:val="24"/>
        </w:rPr>
        <w:t>): Metodika aktualizace vrstvy mapování biotopů, pracovní verze pro sezónu 2020. – Ms., 33 p. [Depon in: Agentura ochrany přírody a krajiny ČR, Praha]</w:t>
      </w:r>
    </w:p>
    <w:p>
      <w:pPr>
        <w:pStyle w:val="NormalWeb"/>
        <w:spacing w:before="280" w:after="280"/>
        <w:rPr>
          <w:rFonts w:ascii="Times New Roman" w:hAnsi="Times New Roman" w:cs="Times New Roman"/>
          <w:sz w:val="24"/>
          <w:szCs w:val="24"/>
          <w:ins w:id="73" w:author="Martin Vojík" w:date="2024-09-04T13:01:00Z"/>
        </w:rPr>
      </w:pPr>
      <w:ins w:id="72" w:author="Martin Vojík" w:date="2024-09-04T13:01:00Z">
        <w:r>
          <w:rPr>
            <w:rFonts w:cs="Times New Roman" w:ascii="Times New Roman" w:hAnsi="Times New Roman"/>
            <w:sz w:val="24"/>
            <w:szCs w:val="24"/>
          </w:rPr>
          <w:t>Lustyk P. [ed.] (2024b): Příručka hodnocení biotopů. – Ms., 540 p. [Depon in: Agentura ochrany přírody a krajiny ČR, Praha]</w:t>
        </w:r>
      </w:ins>
    </w:p>
    <w:p>
      <w:pPr>
        <w:pStyle w:val="Normal"/>
        <w:rPr>
          <w:rFonts w:ascii="Times New Roman" w:hAnsi="Times New Roman"/>
          <w:sz w:val="24"/>
        </w:rPr>
      </w:pPr>
      <w:del w:id="74" w:author="Martin Vojík" w:date="2024-09-04T13:23:00Z">
        <w:r>
          <w:rPr>
            <w:rFonts w:ascii="Times New Roman" w:hAnsi="Times New Roman"/>
            <w:sz w:val="24"/>
          </w:rPr>
          <w:delText>Mehtälä J. &amp; Vuorisalo T. (2007): Conservation policy and the EU Habitats directive: favourable conservation status as a measure of conservation success. – European Environment 17: 363–375.</w:delText>
        </w:r>
      </w:del>
      <w:ins w:id="75" w:author="Martin Vojík" w:date="2024-09-04T13:21:00Z">
        <w:r>
          <w:rPr>
            <w:rFonts w:ascii="Times New Roman" w:hAnsi="Times New Roman"/>
            <w:sz w:val="24"/>
          </w:rPr>
          <w:t>Moravec J. (ed., 1995): Rostlinná společenstva České republiky a jejich ohrožení. 2. Vydání. Severočeskou přírodou, Litoměřice, Příloha 1995: 1-206.</w:t>
        </w:r>
      </w:ins>
    </w:p>
    <w:p>
      <w:pPr>
        <w:pStyle w:val="Normal"/>
        <w:rPr>
          <w:rFonts w:ascii="Times New Roman" w:hAnsi="Times New Roman"/>
          <w:sz w:val="24"/>
        </w:rPr>
      </w:pPr>
      <w:r>
        <w:rPr>
          <w:rFonts w:ascii="Times New Roman" w:hAnsi="Times New Roman"/>
          <w:sz w:val="24"/>
        </w:rPr>
        <w:t xml:space="preserve">Pergl, J., Sádlo, J., Petrusek, A., Laštůvka, Z., Musil, J., Perglová, I., ... &amp; Pyšek, P. (2016): Black, Grey and Watch Lists of alien species in the Czech Republic based on environmental impacts and management strategy. </w:t>
      </w:r>
      <w:r>
        <w:rPr>
          <w:rFonts w:ascii="Times New Roman" w:hAnsi="Times New Roman"/>
          <w:i/>
          <w:iCs/>
          <w:sz w:val="24"/>
        </w:rPr>
        <w:t>NeoBiota</w:t>
      </w:r>
      <w:r>
        <w:rPr>
          <w:rFonts w:ascii="Times New Roman" w:hAnsi="Times New Roman"/>
          <w:sz w:val="24"/>
        </w:rPr>
        <w:t xml:space="preserve">, </w:t>
      </w:r>
      <w:r>
        <w:rPr>
          <w:rFonts w:ascii="Times New Roman" w:hAnsi="Times New Roman"/>
          <w:i/>
          <w:iCs/>
          <w:sz w:val="24"/>
        </w:rPr>
        <w:t>28</w:t>
      </w:r>
      <w:r>
        <w:rPr>
          <w:rFonts w:ascii="Times New Roman" w:hAnsi="Times New Roman"/>
          <w:sz w:val="24"/>
        </w:rPr>
        <w:t>, 1.</w:t>
      </w:r>
    </w:p>
    <w:p>
      <w:pPr>
        <w:pStyle w:val="Normal"/>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pPr>
        <w:pStyle w:val="Normal"/>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pPr>
        <w:pStyle w:val="Normal"/>
        <w:spacing w:before="0" w:after="120"/>
        <w:jc w:val="both"/>
        <w:rPr>
          <w:rFonts w:ascii="Times New Roman" w:hAnsi="Times New Roman"/>
          <w:sz w:val="24"/>
          <w:del w:id="77" w:author="Martin Vojík" w:date="2024-09-04T13:05:00Z"/>
        </w:rPr>
      </w:pPr>
      <w:del w:id="76" w:author="Martin Vojík" w:date="2024-09-04T13:05:00Z">
        <w:r>
          <w:rPr>
            <w:rFonts w:ascii="Times New Roman" w:hAnsi="Times New Roman"/>
            <w:sz w:val="24"/>
          </w:rPr>
        </w:r>
      </w:del>
      <w:r>
        <w:br w:type="page"/>
      </w:r>
    </w:p>
    <w:p>
      <w:pPr>
        <w:pStyle w:val="Normal"/>
        <w:rPr>
          <w:rFonts w:ascii="Times New Roman" w:hAnsi="Times New Roman"/>
          <w:sz w:val="24"/>
          <w:szCs w:val="28"/>
        </w:rPr>
      </w:pPr>
      <w:r>
        <w:rPr>
          <w:rFonts w:ascii="Times New Roman" w:hAnsi="Times New Roman"/>
          <w:b/>
          <w:sz w:val="24"/>
          <w:szCs w:val="28"/>
        </w:rPr>
        <w:t xml:space="preserve">Příloha 1a – Postup sledování stavu stanovišť za pomoci programu R </w:t>
      </w:r>
    </w:p>
    <w:p>
      <w:pPr>
        <w:pStyle w:val="Heading2"/>
        <w:jc w:val="both"/>
        <w:rPr>
          <w:rFonts w:ascii="Times New Roman" w:hAnsi="Times New Roman"/>
          <w:sz w:val="24"/>
        </w:rPr>
      </w:pPr>
      <w:r>
        <w:rPr>
          <w:rFonts w:ascii="Times New Roman" w:hAnsi="Times New Roman"/>
          <w:sz w:val="24"/>
        </w:rPr>
        <w:t xml:space="preserve">Příprava základní vrstvy </w:t>
      </w:r>
    </w:p>
    <w:p>
      <w:pPr>
        <w:pStyle w:val="Normal"/>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pPr>
        <w:pStyle w:val="Normal"/>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pPr>
        <w:pStyle w:val="Heading2"/>
        <w:jc w:val="both"/>
        <w:rPr>
          <w:rFonts w:ascii="Times New Roman" w:hAnsi="Times New Roman"/>
          <w:sz w:val="24"/>
        </w:rPr>
      </w:pPr>
      <w:r>
        <w:rPr>
          <w:rFonts w:ascii="Times New Roman" w:hAnsi="Times New Roman"/>
          <w:sz w:val="24"/>
        </w:rPr>
        <w:t>Příprava sloučené vrstvy</w:t>
      </w:r>
    </w:p>
    <w:p>
      <w:pPr>
        <w:pStyle w:val="Normal"/>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p>
    <w:p>
      <w:pPr>
        <w:pStyle w:val="Heading2"/>
        <w:spacing w:before="240" w:after="120"/>
        <w:jc w:val="both"/>
        <w:rPr>
          <w:rFonts w:ascii="Times New Roman" w:hAnsi="Times New Roman"/>
          <w:sz w:val="24"/>
          <w:szCs w:val="24"/>
        </w:rPr>
      </w:pPr>
      <w:r>
        <w:rPr>
          <w:rFonts w:ascii="Times New Roman" w:hAnsi="Times New Roman"/>
          <w:sz w:val="24"/>
          <w:szCs w:val="24"/>
        </w:rPr>
        <w:t>Výpočet parametrů hodnocení</w:t>
      </w:r>
    </w:p>
    <w:p>
      <w:pPr>
        <w:pStyle w:val="Normal"/>
        <w:rPr>
          <w:rFonts w:ascii="Times New Roman" w:hAnsi="Times New Roman" w:cs="Times New Roman"/>
          <w:b/>
          <w:b/>
          <w:sz w:val="24"/>
          <w:szCs w:val="24"/>
        </w:rPr>
      </w:pPr>
      <w:r>
        <w:rPr>
          <w:rFonts w:cs="Times New Roman" w:ascii="Times New Roman" w:hAnsi="Times New Roman"/>
          <w:b/>
          <w:sz w:val="24"/>
          <w:szCs w:val="24"/>
        </w:rPr>
        <w:t>Příloha 1b – Postup sledování stavu stanovišť transformovaný do prostředí R</w:t>
      </w:r>
    </w:p>
    <w:p>
      <w:pPr>
        <w:pStyle w:val="Normal"/>
        <w:rPr>
          <w:rFonts w:ascii="Times New Roman" w:hAnsi="Times New Roman" w:cs="Times New Roman"/>
        </w:rPr>
      </w:pPr>
      <w:r>
        <w:rPr>
          <w:rFonts w:cs="Times New Roman" w:ascii="Times New Roman" w:hAnsi="Times New Roman"/>
        </w:rPr>
        <w:t xml:space="preserve">Převod postupu do prostředí R proběhl v rámci revize původní metodiky z roku 2016 – během transformace postupu do zdrojového kódu (dostupný zde: </w:t>
      </w:r>
      <w:hyperlink r:id="rId6">
        <w:r>
          <w:rPr>
            <w:rStyle w:val="InternetLink"/>
          </w:rPr>
          <w:t>github.com/jonasgaigr/N2K.CZ/blob/main/n2k_hvezdice_auto.R</w:t>
        </w:r>
      </w:hyperlink>
      <w:r>
        <w:rPr>
          <w:rFonts w:cs="Times New Roman" w:ascii="Times New Roman" w:hAnsi="Times New Roman"/>
          <w:lang w:val="en-US"/>
        </w:rPr>
        <w:t>.</w:t>
      </w:r>
      <w:r>
        <w:rPr>
          <w:rFonts w:cs="Times New Roman" w:ascii="Times New Roman" w:hAnsi="Times New Roman"/>
        </w:rPr>
        <w:t>). K úspěšnému využití zdrojového kódu je zapotřebí následujících knihoven: tidyverse, sf, sp, proj4, lubridate, condformat, openxlxs, raster, stars, zoo, DT a ggradar.</w:t>
      </w:r>
    </w:p>
    <w:p>
      <w:pPr>
        <w:pStyle w:val="Normal"/>
        <w:rPr>
          <w:rFonts w:ascii="Times New Roman" w:hAnsi="Times New Roman" w:cs="Times New Roman"/>
        </w:rPr>
      </w:pPr>
      <w:r>
        <w:rPr>
          <w:rFonts w:cs="Times New Roman" w:ascii="Times New Roman" w:hAnsi="Times New Roman"/>
        </w:rPr>
        <w:br/>
      </w:r>
      <w:r>
        <w:br w:type="page"/>
      </w:r>
    </w:p>
    <w:p>
      <w:pPr>
        <w:pStyle w:val="Normal"/>
        <w:spacing w:lineRule="auto" w:line="240" w:before="0" w:after="0"/>
        <w:rPr/>
      </w:pPr>
      <w:r>
        <w:rPr>
          <w:rFonts w:cs="Times New Roman" w:ascii="Times New Roman" w:hAnsi="Times New Roman"/>
          <w:b/>
          <w:sz w:val="24"/>
          <w:szCs w:val="24"/>
        </w:rPr>
        <w:t>Příloha 2</w:t>
      </w:r>
      <w:r>
        <w:rPr/>
        <w:t xml:space="preserve"> - Kombinované expertní stanovení hodnoty minimiareálu a stupně ohrožení stanoviště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w:t>
      </w:r>
      <w:ins w:id="78" w:author="Martin Vojík" w:date="2024-09-04T13:05:00Z">
        <w:r>
          <w:rPr/>
          <w:t xml:space="preserve"> (přejato z práce Kučera a kol. 2016).</w:t>
        </w:r>
      </w:ins>
      <w:del w:id="79" w:author="Martin Vojík" w:date="2024-09-04T13:05:00Z">
        <w:r>
          <w:rPr/>
          <w:delText>.</w:delText>
        </w:r>
      </w:del>
    </w:p>
    <w:tbl>
      <w:tblPr>
        <w:tblW w:w="9702" w:type="dxa"/>
        <w:jc w:val="left"/>
        <w:tblInd w:w="98" w:type="dxa"/>
        <w:tblLayout w:type="fixed"/>
        <w:tblCellMar>
          <w:top w:w="0" w:type="dxa"/>
          <w:left w:w="108" w:type="dxa"/>
          <w:bottom w:w="0" w:type="dxa"/>
          <w:right w:w="108" w:type="dxa"/>
        </w:tblCellMar>
        <w:tblLook w:val="04a0" w:noHBand="0" w:noVBand="1" w:firstColumn="1" w:lastRow="0" w:lastColumn="0" w:firstRow="1"/>
      </w:tblPr>
      <w:tblGrid>
        <w:gridCol w:w="1074"/>
        <w:gridCol w:w="1791"/>
        <w:gridCol w:w="875"/>
        <w:gridCol w:w="2016"/>
        <w:gridCol w:w="853"/>
        <w:gridCol w:w="874"/>
        <w:gridCol w:w="638"/>
        <w:gridCol w:w="604"/>
        <w:gridCol w:w="976"/>
      </w:tblGrid>
      <w:tr>
        <w:trPr>
          <w:tblHeader w:val="true"/>
          <w:trHeight w:val="1290" w:hRule="atLeast"/>
        </w:trPr>
        <w:tc>
          <w:tcPr>
            <w:tcW w:w="1074" w:type="dxa"/>
            <w:tcBorders>
              <w:top w:val="single" w:sz="8" w:space="0" w:color="000000"/>
              <w:left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stanoviště</w:t>
            </w:r>
          </w:p>
        </w:tc>
        <w:tc>
          <w:tcPr>
            <w:tcW w:w="1791"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 xml:space="preserve">Český název typu přírodního stanoviště </w:t>
            </w:r>
          </w:p>
        </w:tc>
        <w:tc>
          <w:tcPr>
            <w:tcW w:w="875"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biotopu</w:t>
            </w:r>
          </w:p>
        </w:tc>
        <w:tc>
          <w:tcPr>
            <w:tcW w:w="853"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4"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Stupeň ohrožení</w:t>
            </w:r>
          </w:p>
        </w:tc>
        <w:tc>
          <w:tcPr>
            <w:tcW w:w="638" w:type="dxa"/>
            <w:tcBorders>
              <w:top w:val="single" w:sz="8" w:space="0" w:color="000000"/>
              <w:left w:val="single" w:sz="4" w:space="0" w:color="000000"/>
              <w:bottom w:val="single" w:sz="8"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CONT 2013</w:t>
            </w:r>
          </w:p>
        </w:tc>
        <w:tc>
          <w:tcPr>
            <w:tcW w:w="604" w:type="dxa"/>
            <w:tcBorders>
              <w:top w:val="single" w:sz="8" w:space="0" w:color="000000"/>
              <w:bottom w:val="single" w:sz="8" w:space="0" w:color="000000"/>
              <w:right w:val="single" w:sz="8"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PAN 2013</w:t>
            </w:r>
          </w:p>
        </w:tc>
        <w:tc>
          <w:tcPr>
            <w:tcW w:w="976" w:type="dxa"/>
            <w:tcBorders>
              <w:top w:val="single" w:sz="8" w:space="0" w:color="000000"/>
              <w:bottom w:val="single" w:sz="8" w:space="0" w:color="000000"/>
              <w:right w:val="single" w:sz="8"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Plocha (ha) 2014</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1340*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Vnitrozemské slané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Slaniska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118.36</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2330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písčin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8"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55.24</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155.75</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Kostřavové trávníky písčin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675.45</w:t>
            </w:r>
          </w:p>
        </w:tc>
      </w:tr>
      <w:tr>
        <w:trPr>
          <w:trHeight w:val="75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letněných rybníků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779.42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Jednoletá vegetace vlhkých písků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obnažených den teplých oblastí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vytrvalých obojživelných bylin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0,2</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0,05</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25.38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oligo-mezotrofní vody s bentickou vegetací parožnatek</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parožnatek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29.52</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8"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8.77</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309.64</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5.09</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(CR)</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w:t>
            </w:r>
          </w:p>
        </w:tc>
      </w:tr>
      <w:tr>
        <w:trPr>
          <w:trHeight w:val="55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porosty bez druhů charakteristických pro V1A - V1E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7005.18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Přirozená dystrofní jezera a tůně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oligotrofních jezírek a tůní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29.76</w:t>
            </w:r>
          </w:p>
        </w:tc>
      </w:tr>
      <w:tr>
        <w:trPr>
          <w:trHeight w:val="7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bylinná vegetace podél jejich břehů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 xml:space="preserve">)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7.09</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EX</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13.37</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Vrbové křoviny štěrkových náplavů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75.68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2970.74</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Bahnité říční náplavy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66.18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Evropská suchá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179.36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1246.98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Brusnicová vegetace skal a drolin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311.86</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4060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a boreální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Alpínská vřesoviště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Subalpínská brusnicová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480.49</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Kosodřevina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5,0</w:t>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8"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1216.89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4080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Subarktické vrbové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1,0</w:t>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8"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3.56</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Vysoké subalpínské listnaté křoviny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29.29</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40A0*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Kontinentální opadavé křoviny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70.01</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0.66</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0,6</w:t>
            </w:r>
          </w:p>
        </w:tc>
        <w:tc>
          <w:tcPr>
            <w:tcW w:w="874"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124.83</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14.03</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62.95</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111.13</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T6.2B </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 xml:space="preserve">)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40.68</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alpínské a boreální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Vyfoukávané alpínské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165.27</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Zapojené alpínské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758.71</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Sněhová vyležiska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6190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315.29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Pěchavové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38.38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8"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1612.6</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59.66</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974.18</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 bez vstavačovitých a bez jalovce obecného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11075.9</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EN(VU)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1743.11</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smilkové trávníky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smilkové trávníky s alpínskými druhy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786.46</w:t>
            </w:r>
          </w:p>
        </w:tc>
      </w:tr>
      <w:tr>
        <w:trPr>
          <w:trHeight w:val="103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332.47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bez jalovce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8811.83</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Subpanonské stepní trávníky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346.37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sprašové stepní trávníky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75.53</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písčité stepi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stepní trávníky na písku</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38"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97.9</w:t>
            </w:r>
          </w:p>
        </w:tc>
      </w:tr>
      <w:tr>
        <w:trPr>
          <w:trHeight w:val="87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Střídavě vlhké bezkolencové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8414.62</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Devětsilové lemy horských potoků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367.09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Bylinné lemy nížinných řek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vysokostébelné trávníky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727.57</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vysokobylinné nivy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41.03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kapradinové nivy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53.64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Vlhká tužebníková lada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NT(LC)</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12965.45</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vysokobylinná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7.47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zaplavované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1155.57</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Mezofilní ovsíkové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190716.2</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sečené louky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trojštětové louky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16031.35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Aktivní vrchoviště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Otevřená vrchoviště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631.28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Vrchovištní šlenky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84.26</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 (ještě schopná přirozené obnovy)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784.93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7140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Přechodová rašeliniště a třasoviště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Mezotrofní vegetace bahnitých substrátů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64.06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Nevápnitá mechová slatiniště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2082.88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2980.98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14.08</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xml:space="preserve">) a druhy svazu Caricion davallianae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8"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4.12</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Luční pěnovcová prameniště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12.38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Lesní pěnovcová prameniště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19.1</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Zásaditá slatiniště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39.58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8"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183.9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silikátové sutě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silikátových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83.42</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sutě pahorkatin a horského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karbonátových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shd w:color="auto" w:fill="auto" w:val="clear"/>
            <w:vAlign w:val="bottom"/>
          </w:tcPr>
          <w:p>
            <w:pPr>
              <w:pStyle w:val="Normal"/>
              <w:widowControl w:val="false"/>
              <w:spacing w:lineRule="auto" w:line="240" w:before="0" w:after="0"/>
              <w:jc w:val="right"/>
              <w:rPr>
                <w:rFonts w:eastAsia="Times New Roman"/>
                <w:color w:val="000000"/>
              </w:rPr>
            </w:pPr>
            <w:r>
              <w:rPr>
                <w:rFonts w:eastAsia="Times New Roman"/>
                <w:color w:val="000000"/>
              </w:rPr>
              <w:t>24.04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vápnitých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Štěrbinová vegetace vápnitých skal a drolin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0,3</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top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184.83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Chasmofytická vegetace silikátových skalnatých svahů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silikátových skal a drolin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5492.15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sudetských karů</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skal</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41.31</w:t>
            </w:r>
          </w:p>
        </w:tc>
      </w:tr>
      <w:tr>
        <w:trPr>
          <w:trHeight w:val="103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noBreakHyphen/>
              <w:t>eronicion dillenii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0,06</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6.57</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130.37</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147398.7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Květnaté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122930</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klenové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tcBorders>
              <w:bottom w:val="single" w:sz="4" w:space="0" w:color="000000"/>
              <w:right w:val="single" w:sz="4" w:space="0" w:color="000000"/>
            </w:tcBorders>
            <w:shd w:color="000000" w:fill="A6A6A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XX</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920.89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Vápnomilné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960.3</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9170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Hercynské dubohabřiny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101061.4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11257.76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Západokarpatské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39497.51</w:t>
            </w:r>
          </w:p>
        </w:tc>
      </w:tr>
      <w:tr>
        <w:trPr>
          <w:trHeight w:val="52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9180*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Suťové lesy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8,0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20933.75</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9190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Vlhké acidofilní doubravy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10414.15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91D0*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Rašelinný les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1704.2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6002.02</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březiny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1448.4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brusnicové bory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4373.33</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Suchopýrové bory kontinentálních rašelinišť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Blatkové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1000.85</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91E0*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556.36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Údolní jasanovo-olšové luhy, typické porosty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79605.75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Měkké luhy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2649.67</w:t>
            </w:r>
          </w:p>
        </w:tc>
      </w:tr>
      <w:tr>
        <w:trPr>
          <w:trHeight w:val="25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91F0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luhy nížinných řek, člověkem málo ovlivněné porosty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20,0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24138.08</w:t>
            </w:r>
          </w:p>
        </w:tc>
      </w:tr>
      <w:tr>
        <w:trPr>
          <w:trHeight w:val="177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91G0*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Panonsko-karpatské dubohabřiny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4259.18</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5705.24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91H0*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šipákové doubravy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Perialpidské bazifilní teplomilné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910.72</w:t>
            </w:r>
          </w:p>
        </w:tc>
      </w:tr>
      <w:tr>
        <w:trPr>
          <w:trHeight w:val="52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91I0*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Eurosibiřské stepní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spraši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15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1653.57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písku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1372.55</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bazifilní teplomilné doubravy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3918.26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217.37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91T0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lišejníkové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Boreokontinentální bory, lišejníkové porosty na píscích</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8"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1173.37</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91U0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8"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384.04</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9410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třtinové smrčiny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43880.93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Podmáčené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29813.28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papratkové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8"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943.6</w:t>
            </w:r>
          </w:p>
        </w:tc>
      </w:tr>
    </w:tbl>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rPr>
          <w:b/>
          <w:b/>
        </w:rPr>
      </w:pPr>
      <w:r>
        <w:rPr>
          <w:rFonts w:cs="Times New Roman" w:ascii="Times New Roman" w:hAnsi="Times New Roman"/>
          <w:sz w:val="24"/>
          <w:szCs w:val="24"/>
        </w:rPr>
        <w:t xml:space="preserve">Příloha 3: </w:t>
      </w:r>
      <w:r>
        <w:rPr>
          <w:b/>
        </w:rPr>
        <w:t>Seznam expanzních druhů, které mohou mít negativní vliv na habitatové předměty ochrany EVL</w:t>
      </w:r>
    </w:p>
    <w:p>
      <w:pPr>
        <w:pStyle w:val="Normal"/>
        <w:suppressAutoHyphens w:val="false"/>
        <w:rPr>
          <w:b/>
          <w:b/>
        </w:rPr>
      </w:pPr>
      <w:r>
        <w:rPr>
          <w:b/>
        </w:rPr>
        <w:t>Předpoklady:</w:t>
      </w:r>
    </w:p>
    <w:p>
      <w:pPr>
        <w:pStyle w:val="Normal"/>
        <w:numPr>
          <w:ilvl w:val="0"/>
          <w:numId w:val="5"/>
        </w:numPr>
        <w:suppressAutoHyphens w:val="false"/>
        <w:spacing w:before="0" w:after="160"/>
        <w:contextualSpacing/>
        <w:rPr/>
      </w:pPr>
      <w:r>
        <w:rPr/>
        <w:t>Jedná se o první (hrubý) podklad pro hodnocení habitatů z hlediska expanzních druhů</w:t>
      </w:r>
    </w:p>
    <w:p>
      <w:pPr>
        <w:pStyle w:val="Normal"/>
        <w:numPr>
          <w:ilvl w:val="0"/>
          <w:numId w:val="5"/>
        </w:numPr>
        <w:suppressAutoHyphens w:val="false"/>
        <w:spacing w:before="0" w:after="160"/>
        <w:contextualSpacing/>
        <w:rPr>
          <w:rFonts w:ascii="Calibri" w:hAnsi="Calibri" w:cs="Calibri"/>
          <w:color w:val="201F1E"/>
          <w:shd w:fill="FFFFFF" w:val="clear"/>
        </w:rPr>
      </w:pPr>
      <w:r>
        <w:rPr/>
        <w:t xml:space="preserve">V žádném případě by seznam neměl vést k automatické likvidaci uvedených druhů na jednotlivých lokalitách bez (a) taxonomického potvrzení, že se jedná o uvedený druh (např. </w:t>
      </w:r>
      <w:r>
        <w:rPr>
          <w:i/>
        </w:rPr>
        <w:t>Rubus fruticosus</w:t>
      </w:r>
      <w:r>
        <w:rPr/>
        <w:t xml:space="preserve"> agg. může zahrnovat i významné a vzácné taxony </w:t>
      </w:r>
      <w:del w:id="80" w:author="Martin Vojík" w:date="2024-09-04T11:57:00Z">
        <w:r>
          <w:rPr/>
          <w:delText>(např.</w:delText>
        </w:r>
      </w:del>
      <w:ins w:id="81" w:author="Martin Vojík" w:date="2024-09-04T11:57:00Z">
        <w:r>
          <w:rPr/>
          <w:t>–</w:t>
        </w:r>
      </w:ins>
      <w:r>
        <w:rPr/>
        <w:t xml:space="preserve"> </w:t>
      </w:r>
      <w:r>
        <w:rPr>
          <w:rFonts w:cs="Calibri"/>
          <w:i/>
          <w:color w:val="201F1E"/>
          <w:shd w:fill="FFFFFF" w:val="clear"/>
        </w:rPr>
        <w:t>Rubus passaviensis</w:t>
      </w:r>
      <w:r>
        <w:rPr>
          <w:rFonts w:cs="Calibri"/>
          <w:color w:val="201F1E"/>
          <w:shd w:fill="FFFFFF" w:val="clear"/>
        </w:rPr>
        <w:t xml:space="preserve">, </w:t>
      </w:r>
      <w:r>
        <w:rPr>
          <w:rFonts w:cs="Calibri"/>
          <w:i/>
          <w:iCs/>
          <w:color w:val="201F1E"/>
          <w:shd w:fill="FFFFFF" w:val="clear"/>
        </w:rPr>
        <w:t>Rubus sorbicus</w:t>
      </w:r>
      <w:r>
        <w:rPr>
          <w:rFonts w:cs="Calibri"/>
          <w:iCs/>
          <w:color w:val="201F1E"/>
          <w:shd w:fill="FFFFFF" w:val="clear"/>
        </w:rPr>
        <w:t xml:space="preserve"> apod.</w:t>
      </w:r>
      <w:r>
        <w:rPr/>
        <w:t>), které nevykazují expanzní aktivitu, ba naopak, může se jednat o druhy end</w:t>
      </w:r>
      <w:ins w:id="82" w:author="Martin Vojík" w:date="2024-09-04T11:58:00Z">
        <w:r>
          <w:rPr/>
          <w:t>e</w:t>
        </w:r>
      </w:ins>
      <w:del w:id="83" w:author="Martin Vojík" w:date="2024-09-04T11:58:00Z">
        <w:r>
          <w:rPr/>
          <w:delText>e</w:delText>
        </w:r>
      </w:del>
      <w:r>
        <w:rPr/>
        <w:t>mitní.</w:t>
      </w:r>
    </w:p>
    <w:p>
      <w:pPr>
        <w:pStyle w:val="Normal"/>
        <w:suppressAutoHyphens w:val="false"/>
        <w:rPr>
          <w:b/>
          <w:b/>
        </w:rPr>
      </w:pPr>
      <w:r>
        <w:rPr>
          <w:b/>
        </w:rPr>
        <w:t xml:space="preserve">Seznam: </w:t>
      </w:r>
    </w:p>
    <w:p>
      <w:pPr>
        <w:pStyle w:val="Normal"/>
        <w:suppressAutoHyphens w:val="false"/>
        <w:rPr>
          <w:i/>
          <w:i/>
        </w:rPr>
      </w:pPr>
      <w:r>
        <w:rPr>
          <w:i/>
        </w:rPr>
        <w:t>Calamagrostis epigejos</w:t>
      </w:r>
    </w:p>
    <w:p>
      <w:pPr>
        <w:pStyle w:val="Normal"/>
        <w:suppressAutoHyphens w:val="false"/>
        <w:rPr>
          <w:i/>
          <w:i/>
        </w:rPr>
      </w:pPr>
      <w:r>
        <w:rPr>
          <w:i/>
        </w:rPr>
        <w:t>Phalaris arundinacea</w:t>
      </w:r>
    </w:p>
    <w:p>
      <w:pPr>
        <w:pStyle w:val="Normal"/>
        <w:suppressAutoHyphens w:val="false"/>
        <w:rPr>
          <w:i/>
          <w:i/>
        </w:rPr>
      </w:pPr>
      <w:r>
        <w:rPr>
          <w:i/>
        </w:rPr>
        <w:t>Rubus idaeus</w:t>
      </w:r>
    </w:p>
    <w:p>
      <w:pPr>
        <w:pStyle w:val="Normal"/>
        <w:suppressAutoHyphens w:val="false"/>
        <w:rPr/>
      </w:pPr>
      <w:r>
        <w:rPr>
          <w:i/>
        </w:rPr>
        <w:t xml:space="preserve">Rubus fruticosus </w:t>
      </w:r>
      <w:r>
        <w:rPr/>
        <w:t>agg.</w:t>
      </w:r>
    </w:p>
    <w:p>
      <w:pPr>
        <w:pStyle w:val="Normal"/>
        <w:suppressAutoHyphens w:val="false"/>
        <w:rPr>
          <w:i/>
          <w:i/>
        </w:rPr>
      </w:pPr>
      <w:r>
        <w:rPr>
          <w:i/>
        </w:rPr>
        <w:t>Hedera helix</w:t>
      </w:r>
    </w:p>
    <w:p>
      <w:pPr>
        <w:pStyle w:val="Normal"/>
        <w:suppressAutoHyphens w:val="false"/>
        <w:rPr>
          <w:i/>
          <w:i/>
        </w:rPr>
      </w:pPr>
      <w:r>
        <w:rPr>
          <w:i/>
        </w:rPr>
        <w:t>Cirsium heterophyllum</w:t>
      </w:r>
    </w:p>
    <w:p>
      <w:pPr>
        <w:pStyle w:val="Normal"/>
        <w:suppressAutoHyphens w:val="false"/>
        <w:rPr>
          <w:i/>
          <w:i/>
        </w:rPr>
      </w:pPr>
      <w:r>
        <w:rPr>
          <w:i/>
        </w:rPr>
        <w:t>Cirsium oleraceum</w:t>
      </w:r>
    </w:p>
    <w:p>
      <w:pPr>
        <w:pStyle w:val="Normal"/>
        <w:suppressAutoHyphens w:val="false"/>
        <w:rPr>
          <w:i/>
          <w:i/>
        </w:rPr>
      </w:pPr>
      <w:r>
        <w:rPr>
          <w:i/>
        </w:rPr>
        <w:t>Filipendula ulmaria</w:t>
      </w:r>
    </w:p>
    <w:p>
      <w:pPr>
        <w:pStyle w:val="Normal"/>
        <w:suppressAutoHyphens w:val="false"/>
        <w:rPr>
          <w:i/>
          <w:i/>
        </w:rPr>
      </w:pPr>
      <w:r>
        <w:rPr>
          <w:i/>
        </w:rPr>
        <w:t>Petasites hybridus</w:t>
      </w:r>
    </w:p>
    <w:p>
      <w:pPr>
        <w:pStyle w:val="Normal"/>
        <w:suppressAutoHyphens w:val="false"/>
        <w:rPr>
          <w:i/>
          <w:i/>
        </w:rPr>
      </w:pPr>
      <w:r>
        <w:rPr>
          <w:i/>
        </w:rPr>
        <w:t>Urtica dioica</w:t>
      </w:r>
    </w:p>
    <w:p>
      <w:pPr>
        <w:pStyle w:val="Normal"/>
        <w:suppressAutoHyphens w:val="false"/>
        <w:rPr>
          <w:i/>
          <w:i/>
        </w:rPr>
      </w:pPr>
      <w:r>
        <w:rPr>
          <w:i/>
        </w:rPr>
        <w:t>Prunus spinosa</w:t>
      </w:r>
    </w:p>
    <w:p>
      <w:pPr>
        <w:pStyle w:val="Normal"/>
        <w:suppressAutoHyphens w:val="false"/>
        <w:rPr>
          <w:i/>
          <w:i/>
        </w:rPr>
      </w:pPr>
      <w:r>
        <w:rPr>
          <w:i/>
        </w:rPr>
        <w:t>Sambucus nigra</w:t>
      </w:r>
    </w:p>
    <w:p>
      <w:pPr>
        <w:pStyle w:val="Normal"/>
        <w:suppressAutoHyphens w:val="false"/>
        <w:rPr>
          <w:i/>
          <w:i/>
        </w:rPr>
      </w:pPr>
      <w:r>
        <w:rPr>
          <w:i/>
        </w:rPr>
        <w:t>Ligustrum vulgare</w:t>
      </w:r>
    </w:p>
    <w:p>
      <w:pPr>
        <w:pStyle w:val="Normal"/>
        <w:suppressAutoHyphens w:val="false"/>
        <w:rPr>
          <w:i/>
          <w:i/>
        </w:rPr>
      </w:pPr>
      <w:r>
        <w:rPr>
          <w:i/>
        </w:rPr>
        <w:t>Senecio ovatus</w:t>
      </w:r>
    </w:p>
    <w:p>
      <w:pPr>
        <w:pStyle w:val="Normal"/>
        <w:suppressAutoHyphens w:val="false"/>
        <w:rPr>
          <w:i/>
          <w:i/>
        </w:rPr>
      </w:pPr>
      <w:r>
        <w:rPr>
          <w:i/>
        </w:rPr>
        <w:t>Senecio hercynicus</w:t>
      </w:r>
    </w:p>
    <w:p>
      <w:pPr>
        <w:pStyle w:val="Normal"/>
        <w:suppressAutoHyphens w:val="false"/>
        <w:rPr>
          <w:i/>
          <w:i/>
        </w:rPr>
      </w:pPr>
      <w:r>
        <w:rPr>
          <w:i/>
        </w:rPr>
        <w:t>Rumex crispus</w:t>
      </w:r>
    </w:p>
    <w:p>
      <w:pPr>
        <w:pStyle w:val="Normal"/>
        <w:suppressAutoHyphens w:val="false"/>
        <w:rPr>
          <w:i/>
          <w:i/>
        </w:rPr>
      </w:pPr>
      <w:r>
        <w:rPr>
          <w:i/>
        </w:rPr>
        <w:t>Rumex obtusifolius</w:t>
      </w:r>
    </w:p>
    <w:p>
      <w:pPr>
        <w:pStyle w:val="Normal"/>
        <w:suppressAutoHyphens w:val="false"/>
        <w:rPr>
          <w:bCs/>
        </w:rPr>
      </w:pPr>
      <w:r>
        <w:rPr>
          <w:bCs/>
          <w:i/>
        </w:rPr>
        <w:t>Rosa canina</w:t>
      </w:r>
      <w:r>
        <w:rPr>
          <w:bCs/>
        </w:rPr>
        <w:t xml:space="preserve"> agg.</w:t>
      </w:r>
    </w:p>
    <w:p>
      <w:pPr>
        <w:pStyle w:val="Normal"/>
        <w:suppressAutoHyphens w:val="false"/>
        <w:rPr>
          <w:bCs/>
        </w:rPr>
      </w:pPr>
      <w:r>
        <w:rPr>
          <w:bCs/>
          <w:i/>
        </w:rPr>
        <w:t xml:space="preserve">Crataegus </w:t>
      </w:r>
      <w:r>
        <w:rPr>
          <w:bCs/>
        </w:rPr>
        <w:t>spp.</w:t>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before="0" w:after="120"/>
        <w:jc w:val="both"/>
        <w:rPr>
          <w:rFonts w:ascii="Times New Roman" w:hAnsi="Times New Roman" w:cs="Times New Roman"/>
        </w:rPr>
      </w:pPr>
      <w:r>
        <w:rPr>
          <w:rFonts w:cs="Times New Roman" w:ascii="Times New Roman" w:hAnsi="Times New Roman"/>
          <w:sz w:val="28"/>
          <w:szCs w:val="28"/>
        </w:rPr>
        <w:t>Metodika sledování stavu EVL: předmět ochrany: 91T0 Středoevropské lišejníkové bory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Jiří Malíček</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1. Cíl sledování a metodika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lokality (resp. segmenty) s jeho výskytem v EVL, kde jsou lišejníkové bory předmětem ochrany.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Terénní metodika</w:t>
      </w:r>
    </w:p>
    <w:p>
      <w:pPr>
        <w:pStyle w:val="Nadpis2"/>
        <w:rPr/>
      </w:pPr>
      <w:r>
        <w:rPr/>
        <w:t>3.1. Postup prací v terénu, termíny a materiální vybavení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 xml:space="preserve">C. subulata/rei </w:t>
      </w:r>
      <w:r>
        <w:rPr>
          <w:rFonts w:cs="Times New Roman" w:ascii="Times New Roman" w:hAnsi="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3.2.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cs="Times New Roman" w:ascii="Times New Roman" w:hAnsi="Times New Roman"/>
          <w:sz w:val="24"/>
        </w:rPr>
        <w:t>–</w:t>
      </w:r>
      <w:r>
        <w:rPr>
          <w:rFonts w:cs="Times New Roman" w:ascii="Times New Roman" w:hAnsi="Times New Roman"/>
          <w:sz w:val="24"/>
          <w:szCs w:val="24"/>
        </w:rPr>
        <w:t>4 hod. Z hlediska rozlohy lze hrubý odhad časové náročnosti stanovit na 30</w:t>
      </w:r>
      <w:r>
        <w:rPr>
          <w:rFonts w:cs="Times New Roman" w:ascii="Times New Roman" w:hAnsi="Times New Roman"/>
          <w:sz w:val="24"/>
        </w:rPr>
        <w:t>–</w:t>
      </w:r>
      <w:r>
        <w:rPr>
          <w:rFonts w:cs="Times New Roman" w:ascii="Times New Roman" w:hAnsi="Times New Roman"/>
          <w:sz w:val="24"/>
          <w:szCs w:val="24"/>
        </w:rPr>
        <w:t>60 min v případě segmentu o rozloze 0,1 ha, 1,0</w:t>
      </w:r>
      <w:r>
        <w:rPr>
          <w:rFonts w:cs="Times New Roman" w:ascii="Times New Roman" w:hAnsi="Times New Roman"/>
          <w:sz w:val="24"/>
        </w:rPr>
        <w:t>–</w:t>
      </w:r>
      <w:r>
        <w:rPr>
          <w:rFonts w:cs="Times New Roman" w:ascii="Times New Roman" w:hAnsi="Times New Roman"/>
          <w:sz w:val="24"/>
          <w:szCs w:val="24"/>
        </w:rPr>
        <w:t>2,0 hod v případě 0,5 ha a 2,0</w:t>
      </w:r>
      <w:r>
        <w:rPr>
          <w:rFonts w:cs="Times New Roman" w:ascii="Times New Roman" w:hAnsi="Times New Roman"/>
          <w:sz w:val="24"/>
        </w:rPr>
        <w:t>–</w:t>
      </w:r>
      <w:r>
        <w:rPr>
          <w:rFonts w:cs="Times New Roman" w:ascii="Times New Roman" w:hAnsi="Times New Roman"/>
          <w:sz w:val="24"/>
          <w:szCs w:val="24"/>
        </w:rPr>
        <w:t>3,0 hod v případě 1 ha. Podobně dlouhá či o něco nižší doba je nutná k dourčení materiálu v laboratoři.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3.3.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Vzhledem k značné stabilitě daného stanoviště se jako minimální doporučený interval opakování monitoringu jeví pět let, maximální deset let.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jc w:val="both"/>
        <w:rPr>
          <w:rFonts w:ascii="Times New Roman" w:hAnsi="Times New Roman" w:cs="Times New Roman"/>
          <w:b/>
          <w:b/>
          <w:u w:val="none"/>
        </w:rPr>
      </w:pPr>
      <w:r>
        <w:rPr>
          <w:rFonts w:cs="Times New Roman" w:ascii="Times New Roman" w:hAnsi="Times New Roman"/>
          <w:b/>
          <w:u w:val="none"/>
        </w:rPr>
        <w:t>4. Klíčové sledované parametry pro hodnocení stavu</w:t>
      </w:r>
    </w:p>
    <w:p>
      <w:pPr>
        <w:pStyle w:val="Nadpis3"/>
        <w:jc w:val="both"/>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b/>
          <w:b/>
          <w:sz w:val="24"/>
        </w:rPr>
      </w:pPr>
      <w:r>
        <w:rPr>
          <w:rFonts w:cs="Times New Roman" w:ascii="Times New Roman" w:hAnsi="Times New Roman"/>
          <w:b/>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Druhová diverzita a pokryvnost terestrických lišejníků:</w:t>
      </w:r>
      <w:r>
        <w:rPr>
          <w:rFonts w:cs="Times New Roman" w:ascii="Times New Roman" w:hAnsi="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Rozloha biotopu s porosty terikolních lišejníků:</w:t>
      </w:r>
      <w:r>
        <w:rPr>
          <w:rFonts w:cs="Times New Roman" w:ascii="Times New Roman" w:hAnsi="Times New Roman"/>
          <w:sz w:val="24"/>
        </w:rPr>
        <w:t xml:space="preserve"> Plochu </w:t>
      </w:r>
      <w:r>
        <w:rPr>
          <w:rFonts w:cs="Times New Roman" w:ascii="Times New Roman" w:hAnsi="Times New Roman"/>
          <w:sz w:val="24"/>
          <w:szCs w:val="24"/>
        </w:rPr>
        <w:t xml:space="preserve">s prokazatelným aktuálním výskytem </w:t>
      </w:r>
      <w:r>
        <w:rPr>
          <w:rFonts w:cs="Times New Roman" w:ascii="Times New Roman" w:hAnsi="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V rámci sledování vývoje biotopu v delší časové škále (opakování po 5 až 10 letech) lze za nepříznivý vývoj považovat úbytek zastoupení (rozlohy) biotopu v dobrém stavu o více než 5 %. Při zaměření segmentů pomocí GPS lze snadno vyčíslit změny rozlohy daného biotopu. V případě nepříznivého vývoje je pak žádoucí aplikovat podpůrný management, např. prosvětlení porostu.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Zastoupení vzácných druhů: počet druhů z Červeného seznamu v kategoriích VU, EN a CR:</w:t>
      </w:r>
      <w:r>
        <w:rPr>
          <w:rFonts w:cs="Times New Roman" w:ascii="Times New Roman" w:hAnsi="Times New Roman"/>
          <w:sz w:val="24"/>
        </w:rPr>
        <w:t xml:space="preserve"> K tomuto účelu bude využit aktuální Červený seznam lišejníků ČR (</w:t>
      </w:r>
      <w:r>
        <w:rPr>
          <w:rFonts w:cs="Times New Roman" w:ascii="Times New Roman" w:hAnsi="Times New Roman"/>
          <w:sz w:val="24"/>
          <w:rPrChange w:id="0" w:author="Martin Vojík" w:date="2024-09-04T13:00:00Z">
            <w:rPr>
              <w:sz w:val="24"/>
              <w:highlight w:val="yellow"/>
            </w:rPr>
          </w:rPrChange>
        </w:rPr>
        <w:t>Liška &amp; Palice 2010</w:t>
      </w:r>
      <w:r>
        <w:rPr>
          <w:rFonts w:cs="Times New Roman" w:ascii="Times New Roman" w:hAnsi="Times New Roman"/>
          <w:sz w:val="24"/>
        </w:rPr>
        <w:t>). U těchto vzácných druhů bude zaznamenávána také jejich početnost, ideálně dle Braun-Blanquetovy stupnice (v kategoriích r, +, 1–5), z důvodu sledování vývoje populací v delším časovém měřítku.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ListParagraph"/>
        <w:ind w:left="0" w:firstLine="567"/>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pPr>
        <w:pStyle w:val="Normal"/>
        <w:spacing w:before="0" w:after="0"/>
        <w:jc w:val="both"/>
        <w:rPr>
          <w:rFonts w:ascii="Times New Roman" w:hAnsi="Times New Roman" w:cs="Times New Roman"/>
          <w:b/>
          <w:b/>
          <w:sz w:val="28"/>
          <w:szCs w:val="24"/>
        </w:rPr>
      </w:pPr>
      <w:r>
        <w:rPr>
          <w:rFonts w:cs="Times New Roman" w:ascii="Times New Roman" w:hAnsi="Times New Roman"/>
          <w:b/>
          <w:sz w:val="28"/>
          <w:szCs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cs="Times New Roman" w:ascii="Times New Roman" w:hAnsi="Times New Roman"/>
          <w:i/>
          <w:sz w:val="24"/>
        </w:rPr>
        <w:t>Rubus fruticosus</w:t>
      </w:r>
      <w:r>
        <w:rPr>
          <w:rFonts w:cs="Times New Roman" w:ascii="Times New Roman" w:hAnsi="Times New Roman"/>
          <w:sz w:val="24"/>
        </w:rPr>
        <w:t xml:space="preserve"> agg. a </w:t>
      </w:r>
      <w:r>
        <w:rPr>
          <w:rFonts w:cs="Times New Roman" w:ascii="Times New Roman" w:hAnsi="Times New Roman"/>
          <w:i/>
          <w:sz w:val="24"/>
        </w:rPr>
        <w:t>Molinia caerulea</w:t>
      </w:r>
      <w:r>
        <w:rPr>
          <w:rFonts w:cs="Times New Roman" w:ascii="Times New Roman" w:hAnsi="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cs="Times New Roman" w:ascii="Times New Roman" w:hAnsi="Times New Roman"/>
          <w:i/>
          <w:sz w:val="24"/>
        </w:rPr>
        <w:t>Cladonia portentosa</w:t>
      </w:r>
      <w:r>
        <w:rPr>
          <w:rFonts w:cs="Times New Roman" w:ascii="Times New Roman" w:hAnsi="Times New Roman"/>
          <w:sz w:val="24"/>
        </w:rPr>
        <w:t xml:space="preserve"> a </w:t>
      </w:r>
      <w:r>
        <w:rPr>
          <w:rFonts w:cs="Times New Roman" w:ascii="Times New Roman" w:hAnsi="Times New Roman"/>
          <w:i/>
          <w:sz w:val="24"/>
        </w:rPr>
        <w:t>C. stellaris</w:t>
      </w:r>
      <w:r>
        <w:rPr>
          <w:rFonts w:cs="Times New Roman" w:ascii="Times New Roman" w:hAnsi="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cs="Times New Roman" w:ascii="Times New Roman" w:hAnsi="Times New Roman"/>
          <w:i/>
          <w:sz w:val="24"/>
        </w:rPr>
        <w:t>C. portentosa</w:t>
      </w:r>
      <w:r>
        <w:rPr>
          <w:rFonts w:cs="Times New Roman" w:ascii="Times New Roman" w:hAnsi="Times New Roman"/>
          <w:sz w:val="24"/>
        </w:rPr>
        <w:t xml:space="preserve"> je pro dané stanoviště charakteristický a vyskytuje se na řadě zachovalých lokalit. Dutohlávka </w:t>
      </w:r>
      <w:r>
        <w:rPr>
          <w:rFonts w:cs="Times New Roman" w:ascii="Times New Roman" w:hAnsi="Times New Roman"/>
          <w:i/>
          <w:sz w:val="24"/>
        </w:rPr>
        <w:t>C. stellaris</w:t>
      </w:r>
      <w:r>
        <w:rPr>
          <w:rFonts w:cs="Times New Roman" w:ascii="Times New Roman" w:hAnsi="Times New Roman"/>
          <w:sz w:val="24"/>
        </w:rPr>
        <w:t xml:space="preserve"> má ekologické optimum spíše na sutích, ale vzácně může růst i v lišejníkových borech. Lokality těchto druhů bývají ve většině případů bohaté na lišejníky včetně dalších vzácných druhů.</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cs="Times New Roman" w:ascii="Times New Roman" w:hAnsi="Times New Roman"/>
          <w:i/>
          <w:sz w:val="24"/>
        </w:rPr>
        <w:t>Chimaphilla umbellata</w:t>
      </w:r>
      <w:r>
        <w:rPr>
          <w:rFonts w:cs="Times New Roman" w:ascii="Times New Roman" w:hAnsi="Times New Roman"/>
          <w:sz w:val="24"/>
        </w:rPr>
        <w:t xml:space="preserve">, </w:t>
      </w:r>
      <w:r>
        <w:rPr>
          <w:rFonts w:cs="Times New Roman" w:ascii="Times New Roman" w:hAnsi="Times New Roman"/>
          <w:i/>
          <w:sz w:val="24"/>
        </w:rPr>
        <w:t>Moneses uniflora</w:t>
      </w:r>
      <w:r>
        <w:rPr>
          <w:rFonts w:cs="Times New Roman" w:ascii="Times New Roman" w:hAnsi="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budou zadávány do vrstvy mapování biotopu (VMB) pomocí aplikace Wanas. Pro tyto účely je navíc třeba zaznamenat zvlášt strukturu keřového a stromového patra, množství mrtvého dřeva, degradaci, management, regionální hodnocení, hodnocení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Druhová diverzita terestrických lišejníků v celém segmentu</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7 druhů</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8–12 druhů</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12 druhů</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5 %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5–10 %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10 %</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Rozloha biotopu s porosty terestrických lišejníků</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0,1 ha</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0,1–0,5 ha</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0,5 ha</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1–2</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Charakter boru z hlediska přirozenosti, původu a stáří</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kulturní porost</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v daném segmentu (jednotlivý výskyt stanoviště)</w:t>
      </w:r>
    </w:p>
    <w:p>
      <w:pPr>
        <w:pStyle w:val="Normal"/>
        <w:spacing w:before="0" w:after="0"/>
        <w:jc w:val="both"/>
        <w:rPr>
          <w:rFonts w:ascii="Times New Roman" w:hAnsi="Times New Roman" w:cs="Times New Roman"/>
          <w:sz w:val="24"/>
        </w:rPr>
      </w:pPr>
      <w:r>
        <w:rPr>
          <w:rFonts w:cs="Times New Roman" w:ascii="Times New Roman" w:hAnsi="Times New Roman"/>
          <w:sz w:val="24"/>
        </w:rPr>
        <w:t>Každé kritérium zahrnuje bodové hodnocení od nuly do dvou. Maximální dosažený počet je tedy 12 bodů. Pokud dosáhne jednotlivý výskyt stanoviště sedmi a více bodů, můžeme jeho stav považovat za dobrý, při pěti a šesti bodech za zhoršený.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7–12: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5.3.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plochy lišejníkových borů v dobrém stavu, lze celkový stav také považovat za dobrý. Stejné parametry platí i pro opakovaná sledování, nesníží-li se však celková rozloha daného stanoviště o více než 25 % v rámci EVL mezi dvěma následujícími sledováními. V případě takto rychlého úbytku stanoviště v dobrém stavu je třeba celkový stav hodnotit jako špatný.</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6. Slabé stránky</w:t>
      </w:r>
    </w:p>
    <w:p>
      <w:pPr>
        <w:pStyle w:val="ListParagraph"/>
        <w:ind w:left="0" w:firstLine="567"/>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pPr>
        <w:pStyle w:val="Normal"/>
        <w:spacing w:before="0" w:after="0"/>
        <w:ind w:firstLine="708"/>
        <w:jc w:val="both"/>
        <w:rPr>
          <w:rFonts w:ascii="Times New Roman" w:hAnsi="Times New Roman" w:cs="Times New Roman"/>
          <w:sz w:val="28"/>
          <w:szCs w:val="24"/>
        </w:rPr>
      </w:pPr>
      <w:r>
        <w:rPr>
          <w:rFonts w:cs="Times New Roman" w:ascii="Times New Roman" w:hAnsi="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cs="Times New Roman" w:ascii="Times New Roman" w:hAnsi="Times New Roman"/>
          <w:i/>
          <w:sz w:val="24"/>
        </w:rPr>
        <w:t>Chimaphilla umbellata</w:t>
      </w:r>
      <w:r>
        <w:rPr>
          <w:rFonts w:cs="Times New Roman" w:ascii="Times New Roman" w:hAnsi="Times New Roman"/>
          <w:sz w:val="24"/>
        </w:rPr>
        <w:t>) či mechorostů.</w:t>
      </w:r>
      <w:r>
        <w:rPr>
          <w:rFonts w:cs="Times New Roman" w:ascii="Times New Roman" w:hAnsi="Times New Roman"/>
          <w:sz w:val="28"/>
          <w:szCs w:val="24"/>
        </w:rPr>
        <w:t xml:space="preserve">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7. Vymezení daného biotopu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7.1. Stručná charakteristika Středoevropských lišejníkových borů</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cs="Times New Roman" w:ascii="Times New Roman" w:hAnsi="Times New Roman"/>
          <w:i/>
          <w:sz w:val="24"/>
          <w:szCs w:val="24"/>
        </w:rPr>
        <w:t>Pinus sylvestris</w:t>
      </w:r>
      <w:r>
        <w:rPr>
          <w:rFonts w:cs="Times New Roman" w:ascii="Times New Roman" w:hAnsi="Times New Roman"/>
          <w:sz w:val="24"/>
          <w:szCs w:val="24"/>
        </w:rPr>
        <w:t>), keřové patro zpravidla chybí a v bylinném patře se uplatňují především keříky vřesu (</w:t>
      </w:r>
      <w:r>
        <w:rPr>
          <w:rFonts w:cs="Times New Roman" w:ascii="Times New Roman" w:hAnsi="Times New Roman"/>
          <w:i/>
          <w:sz w:val="24"/>
          <w:szCs w:val="24"/>
        </w:rPr>
        <w:t>Calluna vulgaris</w:t>
      </w:r>
      <w:r>
        <w:rPr>
          <w:rFonts w:cs="Times New Roman" w:ascii="Times New Roman" w:hAnsi="Times New Roman"/>
          <w:sz w:val="24"/>
          <w:szCs w:val="24"/>
        </w:rPr>
        <w:t>), brusnice borůvky (</w:t>
      </w:r>
      <w:r>
        <w:rPr>
          <w:rFonts w:cs="Times New Roman" w:ascii="Times New Roman" w:hAnsi="Times New Roman"/>
          <w:i/>
          <w:sz w:val="24"/>
          <w:szCs w:val="24"/>
        </w:rPr>
        <w:t>Vaccinium myrtillus</w:t>
      </w:r>
      <w:r>
        <w:rPr>
          <w:rFonts w:cs="Times New Roman" w:ascii="Times New Roman" w:hAnsi="Times New Roman"/>
          <w:sz w:val="24"/>
          <w:szCs w:val="24"/>
        </w:rPr>
        <w:t>) a brusnice brusinky (</w:t>
      </w:r>
      <w:r>
        <w:rPr>
          <w:rFonts w:cs="Times New Roman" w:ascii="Times New Roman" w:hAnsi="Times New Roman"/>
          <w:i/>
          <w:sz w:val="24"/>
          <w:szCs w:val="24"/>
        </w:rPr>
        <w:t>Vaccinium vitis-idea</w:t>
      </w:r>
      <w:r>
        <w:rPr>
          <w:rFonts w:cs="Times New Roman" w:ascii="Times New Roman" w:hAnsi="Times New Roman"/>
          <w:sz w:val="24"/>
          <w:szCs w:val="24"/>
        </w:rPr>
        <w:t>). Z trav se nejčastěji uplatňuje metlička křivolaká (</w:t>
      </w:r>
      <w:r>
        <w:rPr>
          <w:rFonts w:cs="Times New Roman" w:ascii="Times New Roman" w:hAnsi="Times New Roman"/>
          <w:i/>
          <w:sz w:val="24"/>
          <w:szCs w:val="24"/>
        </w:rPr>
        <w:t>Avenella flexuosa</w:t>
      </w:r>
      <w:r>
        <w:rPr>
          <w:rFonts w:cs="Times New Roman" w:ascii="Times New Roman" w:hAnsi="Times New Roman"/>
          <w:sz w:val="24"/>
          <w:szCs w:val="24"/>
        </w:rPr>
        <w:t xml:space="preserve">). Chybí zde pískomilné rostliny (Chytrý 2013). Dobře vyvinuto bývá mechové patro s charakteristickou pokryvností keříčkovitých lišejníků, hlavně </w:t>
      </w:r>
      <w:r>
        <w:rPr>
          <w:rFonts w:cs="Times New Roman" w:ascii="Times New Roman" w:hAnsi="Times New Roman"/>
          <w:i/>
          <w:sz w:val="24"/>
          <w:szCs w:val="24"/>
        </w:rPr>
        <w:t>Cetraria islandica</w:t>
      </w:r>
      <w:r>
        <w:rPr>
          <w:rFonts w:cs="Times New Roman" w:ascii="Times New Roman" w:hAnsi="Times New Roman"/>
          <w:sz w:val="24"/>
          <w:szCs w:val="24"/>
        </w:rPr>
        <w:t xml:space="preserve"> a rodem </w:t>
      </w:r>
      <w:r>
        <w:rPr>
          <w:rFonts w:cs="Times New Roman" w:ascii="Times New Roman" w:hAnsi="Times New Roman"/>
          <w:i/>
          <w:sz w:val="24"/>
          <w:szCs w:val="24"/>
        </w:rPr>
        <w:t>Cladonia</w:t>
      </w:r>
      <w:r>
        <w:rPr>
          <w:rFonts w:cs="Times New Roman" w:ascii="Times New Roman" w:hAnsi="Times New Roman"/>
          <w:sz w:val="24"/>
          <w:szCs w:val="24"/>
        </w:rPr>
        <w:t xml:space="preserve">. K nejhojnějším zástupcům tohoto rodu patří </w:t>
      </w:r>
      <w:r>
        <w:rPr>
          <w:rFonts w:cs="Times New Roman" w:ascii="Times New Roman" w:hAnsi="Times New Roman"/>
          <w:i/>
          <w:sz w:val="24"/>
          <w:szCs w:val="24"/>
        </w:rPr>
        <w:t>C. arbuscula</w:t>
      </w:r>
      <w:r>
        <w:rPr>
          <w:rFonts w:cs="Times New Roman" w:ascii="Times New Roman" w:hAnsi="Times New Roman"/>
          <w:sz w:val="24"/>
          <w:szCs w:val="24"/>
        </w:rPr>
        <w:t xml:space="preserve">,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C. gracilis</w:t>
      </w:r>
      <w:r>
        <w:rPr>
          <w:rFonts w:cs="Times New Roman" w:ascii="Times New Roman" w:hAnsi="Times New Roman"/>
          <w:sz w:val="24"/>
          <w:szCs w:val="24"/>
        </w:rPr>
        <w:t xml:space="preserve">, </w:t>
      </w:r>
      <w:r>
        <w:rPr>
          <w:rFonts w:cs="Times New Roman" w:ascii="Times New Roman" w:hAnsi="Times New Roman"/>
          <w:i/>
          <w:sz w:val="24"/>
          <w:szCs w:val="24"/>
        </w:rPr>
        <w:t>C. macilenta</w:t>
      </w:r>
      <w:r>
        <w:rPr>
          <w:rFonts w:cs="Times New Roman" w:ascii="Times New Roman" w:hAnsi="Times New Roman"/>
          <w:sz w:val="24"/>
          <w:szCs w:val="24"/>
        </w:rPr>
        <w:t xml:space="preserve">, </w:t>
      </w:r>
      <w:r>
        <w:rPr>
          <w:rFonts w:cs="Times New Roman" w:ascii="Times New Roman" w:hAnsi="Times New Roman"/>
          <w:i/>
          <w:sz w:val="24"/>
          <w:szCs w:val="24"/>
        </w:rPr>
        <w:t>C. rangiferina</w:t>
      </w:r>
      <w:r>
        <w:rPr>
          <w:rFonts w:cs="Times New Roman" w:ascii="Times New Roman" w:hAnsi="Times New Roman"/>
          <w:sz w:val="24"/>
          <w:szCs w:val="24"/>
        </w:rPr>
        <w:t xml:space="preserve"> a </w:t>
      </w:r>
      <w:r>
        <w:rPr>
          <w:rFonts w:cs="Times New Roman" w:ascii="Times New Roman" w:hAnsi="Times New Roman"/>
          <w:i/>
          <w:sz w:val="24"/>
          <w:szCs w:val="24"/>
        </w:rPr>
        <w:t>C. squamosa</w:t>
      </w:r>
      <w:r>
        <w:rPr>
          <w:rFonts w:cs="Times New Roman" w:ascii="Times New Roman" w:hAnsi="Times New Roman"/>
          <w:sz w:val="24"/>
          <w:szCs w:val="24"/>
        </w:rPr>
        <w:t xml:space="preserve">. Z mechorostů dominují </w:t>
      </w:r>
      <w:r>
        <w:rPr>
          <w:rFonts w:cs="Times New Roman" w:ascii="Times New Roman" w:hAnsi="Times New Roman"/>
          <w:i/>
          <w:sz w:val="24"/>
          <w:szCs w:val="24"/>
        </w:rPr>
        <w:t>Dicranum polysetum</w:t>
      </w:r>
      <w:r>
        <w:rPr>
          <w:rFonts w:cs="Times New Roman" w:ascii="Times New Roman" w:hAnsi="Times New Roman"/>
          <w:sz w:val="24"/>
          <w:szCs w:val="24"/>
        </w:rPr>
        <w:t xml:space="preserve">, </w:t>
      </w:r>
      <w:r>
        <w:rPr>
          <w:rFonts w:cs="Times New Roman" w:ascii="Times New Roman" w:hAnsi="Times New Roman"/>
          <w:i/>
          <w:sz w:val="24"/>
          <w:szCs w:val="24"/>
        </w:rPr>
        <w:t>D. scoparium</w:t>
      </w:r>
      <w:r>
        <w:rPr>
          <w:rFonts w:cs="Times New Roman" w:ascii="Times New Roman" w:hAnsi="Times New Roman"/>
          <w:sz w:val="24"/>
          <w:szCs w:val="24"/>
        </w:rPr>
        <w:t xml:space="preserve">, </w:t>
      </w:r>
      <w:r>
        <w:rPr>
          <w:rFonts w:cs="Times New Roman" w:ascii="Times New Roman" w:hAnsi="Times New Roman"/>
          <w:i/>
          <w:sz w:val="24"/>
          <w:szCs w:val="24"/>
        </w:rPr>
        <w:t>Leucobryum glaucum</w:t>
      </w:r>
      <w:r>
        <w:rPr>
          <w:rFonts w:cs="Times New Roman" w:ascii="Times New Roman" w:hAnsi="Times New Roman"/>
          <w:sz w:val="24"/>
          <w:szCs w:val="24"/>
        </w:rPr>
        <w:t xml:space="preserve"> a </w:t>
      </w:r>
      <w:r>
        <w:rPr>
          <w:rFonts w:cs="Times New Roman" w:ascii="Times New Roman" w:hAnsi="Times New Roman"/>
          <w:i/>
          <w:sz w:val="24"/>
          <w:szCs w:val="24"/>
        </w:rPr>
        <w:t>Pleurozium schreberi</w:t>
      </w:r>
      <w:r>
        <w:rPr>
          <w:rFonts w:cs="Times New Roman" w:ascii="Times New Roman" w:hAnsi="Times New Roman"/>
          <w:sz w:val="24"/>
          <w:szCs w:val="24"/>
        </w:rPr>
        <w: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7.2. Výskyt lišejníkových borů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Z hlediska vegetační klasifikace se jedná o svaz </w:t>
      </w:r>
      <w:r>
        <w:rPr>
          <w:rFonts w:cs="Times New Roman" w:ascii="Times New Roman" w:hAnsi="Times New Roman"/>
          <w:i/>
          <w:sz w:val="24"/>
          <w:szCs w:val="24"/>
        </w:rPr>
        <w:t>Dicrano-Pinion sylvestris</w:t>
      </w:r>
      <w:r>
        <w:rPr>
          <w:rFonts w:cs="Times New Roman" w:ascii="Times New Roman" w:hAnsi="Times New Roman"/>
          <w:sz w:val="24"/>
          <w:szCs w:val="24"/>
        </w:rPr>
        <w:t xml:space="preserve"> (LFB) a asociaci </w:t>
      </w:r>
      <w:r>
        <w:rPr>
          <w:rFonts w:cs="Times New Roman" w:ascii="Times New Roman" w:hAnsi="Times New Roman"/>
          <w:i/>
          <w:sz w:val="24"/>
          <w:szCs w:val="24"/>
        </w:rPr>
        <w:t>Cladino-Pinetum sylvestris</w:t>
      </w:r>
      <w:r>
        <w:rPr>
          <w:rFonts w:cs="Times New Roman" w:ascii="Times New Roman" w:hAnsi="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7.3. Lišejníkové bory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7.4. Ochrana a management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cs="Times New Roman" w:ascii="Times New Roman" w:hAnsi="Times New Roman"/>
          <w:i/>
          <w:sz w:val="24"/>
          <w:szCs w:val="24"/>
        </w:rPr>
        <w:t>C. ciliata</w:t>
      </w:r>
      <w:r>
        <w:rPr>
          <w:rFonts w:cs="Times New Roman" w:ascii="Times New Roman" w:hAnsi="Times New Roman"/>
          <w:sz w:val="24"/>
          <w:szCs w:val="24"/>
        </w:rPr>
        <w:t xml:space="preserve">, </w:t>
      </w:r>
      <w:r>
        <w:rPr>
          <w:rFonts w:cs="Times New Roman" w:ascii="Times New Roman" w:hAnsi="Times New Roman"/>
          <w:i/>
          <w:sz w:val="24"/>
          <w:szCs w:val="24"/>
        </w:rPr>
        <w:t>C. portentosa</w:t>
      </w:r>
      <w:r>
        <w:rPr>
          <w:rFonts w:cs="Times New Roman" w:ascii="Times New Roman" w:hAnsi="Times New Roman"/>
          <w:sz w:val="24"/>
          <w:szCs w:val="24"/>
        </w:rPr>
        <w:t xml:space="preserve">, </w:t>
      </w:r>
      <w:r>
        <w:rPr>
          <w:rFonts w:cs="Times New Roman" w:ascii="Times New Roman" w:hAnsi="Times New Roman"/>
          <w:i/>
          <w:sz w:val="24"/>
          <w:szCs w:val="24"/>
        </w:rPr>
        <w:t>C. strepsilis</w:t>
      </w:r>
      <w:r>
        <w:rPr>
          <w:rFonts w:cs="Times New Roman" w:ascii="Times New Roman" w:hAnsi="Times New Roman"/>
          <w:sz w:val="24"/>
          <w:szCs w:val="24"/>
        </w:rPr>
        <w:t>).</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Chytrý M. </w:t>
      </w:r>
      <w:r>
        <w:rPr>
          <w:rFonts w:cs="Times New Roman" w:ascii="Times New Roman" w:hAnsi="Times New Roman"/>
          <w:sz w:val="24"/>
          <w:szCs w:val="24"/>
          <w:lang w:val="en-US"/>
        </w:rPr>
        <w:t>[</w:t>
      </w:r>
      <w:r>
        <w:rPr>
          <w:rFonts w:cs="Times New Roman" w:ascii="Times New Roman" w:hAnsi="Times New Roman"/>
          <w:sz w:val="24"/>
          <w:szCs w:val="24"/>
        </w:rPr>
        <w:t>ed.] (2013): Vegetace České republiky. 4. Lesní a křovinná vegetace. – Academia,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Liška J. &amp; Palice Z. (2010): Červený seznam lišejníků České republiky (verze 1.1). – Příroda, 29: 3–66. </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Matuszkiewicz W. et al. (2012): Lasy i Zarośla. – Wydawnictwo Naukowe PWN, Warszawa.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Sádlo J. &amp; Kocourková J. (2015): L8.1A Boreokontinentální bory, tedy lišejníkové bory na píscích. – In: Lustyk P. </w:t>
      </w:r>
      <w:r>
        <w:rPr>
          <w:rFonts w:cs="Times New Roman" w:ascii="Times New Roman" w:hAnsi="Times New Roman"/>
          <w:sz w:val="24"/>
          <w:szCs w:val="24"/>
          <w:lang w:val="en-US"/>
        </w:rPr>
        <w:t>[ed.]</w:t>
      </w:r>
      <w:r>
        <w:rPr>
          <w:rFonts w:cs="Times New Roman" w:ascii="Times New Roman" w:hAnsi="Times New Roman"/>
          <w:sz w:val="24"/>
          <w:szCs w:val="24"/>
        </w:rPr>
        <w:t>, Příručka hodnocení biotopů, AOPK ČR, Praha.</w:t>
      </w:r>
      <w:r>
        <w:br w:type="page"/>
      </w:r>
    </w:p>
    <w:p>
      <w:pPr>
        <w:pStyle w:val="Normal"/>
        <w:rPr>
          <w:sz w:val="28"/>
          <w:szCs w:val="28"/>
        </w:rPr>
      </w:pPr>
      <w:r>
        <w:rPr>
          <w:rFonts w:cs="Times New Roman" w:ascii="Times New Roman" w:hAnsi="Times New Roman"/>
          <w:sz w:val="28"/>
          <w:szCs w:val="28"/>
        </w:rPr>
        <w:t>Metodika sledování stavu EVL: předmět ochrany: stanoviště 3140 Vegetace parožnatek</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t>Tomáš Hauer</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r>
    </w:p>
    <w:p>
      <w:pPr>
        <w:pStyle w:val="Nadpis1"/>
        <w:rPr/>
      </w:pPr>
      <w:r>
        <w:rPr/>
        <w:t>1. Cíl sledování a metodiky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Výsledky budou podkladem pro vyhotovení Hodnotících zpráv podle článku 17 Směrnice o stanovištích (92/43/EEC; §45f zákona 114/1992 Sb.) a péči o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Metodika</w:t>
      </w:r>
    </w:p>
    <w:p>
      <w:pPr>
        <w:pStyle w:val="Nadpis2"/>
        <w:rPr/>
      </w:pPr>
      <w:r>
        <w:rPr/>
        <w:t>3.1. Postup prací v terénu, termíny (počty návštěv), délka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cs="Times New Roman" w:ascii="Times New Roman" w:hAnsi="Times New Roman"/>
          <w:i/>
          <w:sz w:val="24"/>
          <w:szCs w:val="24"/>
        </w:rPr>
        <w:t xml:space="preserve">Chara vulgaris, Chara globularis, Nitella flexilis </w:t>
      </w:r>
      <w:r>
        <w:rPr>
          <w:rFonts w:cs="Times New Roman" w:ascii="Times New Roman" w:hAnsi="Times New Roman"/>
          <w:sz w:val="24"/>
          <w:szCs w:val="24"/>
        </w:rPr>
        <w:t xml:space="preserve">a </w:t>
      </w:r>
      <w:r>
        <w:rPr>
          <w:rFonts w:cs="Times New Roman" w:ascii="Times New Roman" w:hAnsi="Times New Roman"/>
          <w:i/>
          <w:sz w:val="24"/>
          <w:szCs w:val="24"/>
        </w:rPr>
        <w:t xml:space="preserve">Nitella opaca </w:t>
      </w:r>
      <w:r>
        <w:rPr>
          <w:rFonts w:cs="Times New Roman" w:ascii="Times New Roman" w:hAnsi="Times New Roman"/>
          <w:sz w:val="24"/>
          <w:szCs w:val="24"/>
        </w:rPr>
        <w:t>jsou kontrolovány jednou, lokality s méně běžnými taxony dvakrát ročně.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vybere monitorovatel reprezentativní část vhodných biotopů o minimální ploše 50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 xml:space="preserve">s ohledem na místní podmínky (hloubka, svažitost a typ povrchu dna) </w:t>
      </w:r>
      <w:r>
        <w:rPr>
          <w:rFonts w:cs="Times New Roman" w:ascii="Times New Roman" w:hAnsi="Times New Roman"/>
          <w:sz w:val="24"/>
          <w:szCs w:val="24"/>
          <w:vertAlign w:val="superscript"/>
        </w:rPr>
        <w:t xml:space="preserve"> </w:t>
      </w:r>
      <w:r>
        <w:rPr>
          <w:rFonts w:cs="Times New Roman" w:ascii="Times New Roman" w:hAnsi="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3.2. Laboratorní práce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3.3.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3.4.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rPr>
          <w:rFonts w:ascii="Times New Roman" w:hAnsi="Times New Roman" w:cs="Times New Roman"/>
          <w:b/>
          <w:b/>
          <w:u w:val="none"/>
        </w:rPr>
      </w:pPr>
      <w:r>
        <w:rPr>
          <w:rFonts w:cs="Times New Roman" w:ascii="Times New Roman" w:hAnsi="Times New Roman"/>
          <w:b/>
          <w:u w:val="none"/>
        </w:rPr>
        <w:t>4. Sledované parametry pro hodnocení stavu</w:t>
      </w:r>
    </w:p>
    <w:p>
      <w:pPr>
        <w:pStyle w:val="Nadpis3"/>
        <w:rPr>
          <w:rFonts w:ascii="Times New Roman" w:hAnsi="Times New Roman" w:cs="Times New Roman"/>
          <w:i/>
          <w:i/>
          <w:u w:val="none"/>
        </w:rPr>
      </w:pPr>
      <w:r>
        <w:rPr>
          <w:rFonts w:cs="Times New Roman" w:ascii="Times New Roman" w:hAnsi="Times New Roman"/>
          <w:i/>
          <w:u w:val="none"/>
        </w:rPr>
      </w:r>
    </w:p>
    <w:p>
      <w:pPr>
        <w:pStyle w:val="Nadpis3"/>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Celkový počet druhů parožnatek</w:t>
      </w: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b/>
          <w:sz w:val="24"/>
          <w:szCs w:val="24"/>
        </w:rPr>
        <w:t>Počet méně běžných druhů:</w:t>
      </w:r>
      <w:r>
        <w:rPr>
          <w:rFonts w:cs="Times New Roman" w:ascii="Times New Roman" w:hAnsi="Times New Roman"/>
          <w:sz w:val="24"/>
          <w:szCs w:val="24"/>
        </w:rPr>
        <w:t xml:space="preserve"> přítomné druhy mimo </w:t>
      </w:r>
      <w:r>
        <w:rPr>
          <w:rFonts w:cs="Times New Roman" w:ascii="Times New Roman" w:hAnsi="Times New Roman"/>
          <w:i/>
          <w:sz w:val="24"/>
          <w:szCs w:val="24"/>
        </w:rPr>
        <w:t>Chara vulgaris, Chara globularis, Nitella flexilis</w:t>
      </w:r>
      <w:r>
        <w:rPr>
          <w:rFonts w:cs="Times New Roman" w:ascii="Times New Roman" w:hAnsi="Times New Roman"/>
          <w:sz w:val="24"/>
          <w:szCs w:val="24"/>
        </w:rPr>
        <w:t xml:space="preserve"> a </w:t>
      </w:r>
      <w:r>
        <w:rPr>
          <w:rFonts w:cs="Times New Roman" w:ascii="Times New Roman" w:hAnsi="Times New Roman"/>
          <w:i/>
          <w:sz w:val="24"/>
          <w:szCs w:val="24"/>
        </w:rPr>
        <w:t>Nitella opaca</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 xml:space="preserve">Pokryvnost společenstva parožnatek: </w:t>
      </w:r>
      <w:r>
        <w:rPr>
          <w:rFonts w:cs="Times New Roman" w:ascii="Times New Roman" w:hAnsi="Times New Roman"/>
          <w:sz w:val="24"/>
          <w:szCs w:val="24"/>
        </w:rPr>
        <w:t xml:space="preserve">méně než 10 %, 10 – 50 %, &gt; 50 % rozlohy monitorovaných segmentů/ploch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Celistvost populace v segmentu/ploše:</w:t>
      </w:r>
      <w:r>
        <w:rPr>
          <w:rFonts w:cs="Times New Roman" w:ascii="Times New Roman" w:hAnsi="Times New Roman"/>
          <w:sz w:val="24"/>
          <w:szCs w:val="24"/>
        </w:rPr>
        <w:t xml:space="preserve"> jednotlivé stélky nebo jejich drobné shluky, větší celistvé plošky, souvislé porosty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rPr>
        <w:t>Pokryvnost populace koexistujících vodních/mokřadních makrofyt</w:t>
      </w:r>
      <w:r>
        <w:rPr>
          <w:rFonts w:cs="Times New Roman" w:ascii="Times New Roman" w:hAnsi="Times New Roman"/>
          <w:sz w:val="24"/>
        </w:rPr>
        <w:t>: velká, střední, nízká</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Další parametry kvality lokality:</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a) intenzita chovu ryb</w:t>
      </w:r>
      <w:r>
        <w:rPr>
          <w:rFonts w:cs="Times New Roman" w:ascii="Times New Roman" w:hAnsi="Times New Roman"/>
          <w:sz w:val="24"/>
          <w:szCs w:val="24"/>
        </w:rPr>
        <w:t>: intenzivní, extenzivní, bez chovaných ryb</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b) stabilita vodního režimu</w:t>
      </w:r>
      <w:r>
        <w:rPr>
          <w:rFonts w:cs="Times New Roman" w:ascii="Times New Roman" w:hAnsi="Times New Roman"/>
          <w:sz w:val="24"/>
          <w:szCs w:val="24"/>
        </w:rPr>
        <w:t xml:space="preserve">: významné změny proti pilotnímu monitoringu - drastický úbytek vody či vyschnutí, patrné periodické kolísání hladiny, víceméně stabilní zavodnění </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c) významný zdroj živin, resp. znečištění v blízkém povodí</w:t>
      </w:r>
      <w:r>
        <w:rPr>
          <w:rFonts w:cs="Times New Roman" w:ascii="Times New Roman" w:hAnsi="Times New Roman"/>
          <w:sz w:val="24"/>
          <w:szCs w:val="24"/>
        </w:rPr>
        <w:t>: ano, ne</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10 %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10-50 %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50 %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3"/>
      </w:r>
      <w:r>
        <w:rPr>
          <w:rFonts w:ascii="Times New Roman" w:hAnsi="Times New Roman"/>
          <w:sz w:val="24"/>
        </w:rPr>
        <w:t xml:space="preserve"> na celkové pokryvnosti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0,1-20 %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Celistvost populace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souvislé porosty</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Populace koexistujících vodních/mokřadních makrofyt</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4"/>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Míra ohrožení biotopu a populací parožnatek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7–10: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monitorovaných segmentů/ploch stanoviště 3140 – Tvrdé oligo-mezotrofní vody s bentickou vegetací parožnatek v dobrém stavu, lze celkový stav také považovat za dobrý. Stejné parametry platí i pro opakovaná sledování. Sníží-li se celková rozloha stanoviště na sledovaných segmentech/plochách o více než 30 % v rámci EVL proti předchozí návštěvě, je stav považován za špatný.</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adpis1"/>
        <w:rPr/>
      </w:pPr>
      <w:r>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Krause W. (1997): Charales (Charophyceae). Süßwasserflora von Mitteleuropa, vol. 18, Gustav Fischer Verlag Stuttgart 202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Urbaniak J. &amp; Gąbka M. (2014): Polish Charophytes. An Illustrated Guide to Identification. Wydawnictwo universitetu Przyrodniego we Wrocławiu, Wrocław, 120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rFonts w:ascii="Times New Roman" w:hAnsi="Times New Roman" w:cs="Times New Roman"/>
          <w:sz w:val="24"/>
          <w:szCs w:val="24"/>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artin Vojík" w:date="2024-09-04T13:19:00Z" w:initials="MV">
    <w:p>
      <w:r>
        <w:rPr>
          <w:rFonts w:ascii="Liberation Serif" w:hAnsi="Liberation Serif" w:eastAsia="DejaVu Sans" w:cs="DejaVu Sans"/>
          <w:sz w:val="24"/>
          <w:szCs w:val="24"/>
          <w:lang w:val="en-US" w:eastAsia="en-US" w:bidi="en-US"/>
        </w:rPr>
        <w:t xml:space="preserve">Hele tohle je bordel. Jak je to teď? Nechci slyšet, že stejně! </w:t>
      </w:r>
    </w:p>
  </w:comment>
  <w:comment w:id="0" w:author="Martin Vojík" w:date="2024-09-04T13:23:00Z" w:initials="MV">
    <w:p>
      <w:r>
        <w:rPr>
          <w:rFonts w:ascii="Liberation Serif" w:hAnsi="Liberation Serif" w:eastAsia="DejaVu Sans" w:cs="DejaVu Sans"/>
          <w:sz w:val="24"/>
          <w:szCs w:val="24"/>
          <w:lang w:val="en-US" w:eastAsia="en-US" w:bidi="en-US"/>
        </w:rPr>
        <w:t>Citaci udělám až to bude jasné</w:t>
      </w:r>
    </w:p>
  </w:comment>
  <w:comment w:id="2" w:author="Jakub Rataj" w:date="2026-01-20T11:18:28Z" w:initials="JR">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aktualizovat</w:t>
      </w:r>
    </w:p>
  </w:comment>
  <w:comment w:id="3" w:author="Martin Vojík" w:date="2024-09-03T14:36:00Z" w:initials="MV">
    <w:p>
      <w:r>
        <w:rPr>
          <w:rFonts w:ascii="Liberation Serif" w:hAnsi="Liberation Serif" w:eastAsia="DejaVu Sans" w:cs="DejaVu Sans"/>
          <w:sz w:val="24"/>
          <w:szCs w:val="24"/>
          <w:lang w:val="en-US" w:eastAsia="en-US" w:bidi="en-US"/>
        </w:rPr>
        <w:t>Platí stále? Pokud ano, je řeba revidovat interpretační manuál.</w:t>
      </w:r>
    </w:p>
  </w:comment>
  <w:comment w:id="4" w:author="Martin Vojík" w:date="2024-09-04T10:48:00Z" w:initials="MV">
    <w:p>
      <w:r>
        <w:rPr>
          <w:rFonts w:ascii="Liberation Serif" w:hAnsi="Liberation Serif" w:eastAsia="DejaVu Sans" w:cs="DejaVu Sans"/>
          <w:sz w:val="24"/>
          <w:szCs w:val="24"/>
          <w:lang w:val="en-US" w:eastAsia="en-US" w:bidi="en-US"/>
        </w:rP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5" w:author="Unknown Author" w:date="2026-01-07T15:02:07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6" w:author="Jakub Rataj" w:date="2026-01-07T15:03:01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7" w:author="Martin Vojík" w:date="2024-09-04T10:29:00Z" w:initials="MV">
    <w:p>
      <w:r>
        <w:rPr>
          <w:rFonts w:ascii="Liberation Serif" w:hAnsi="Liberation Serif" w:eastAsia="DejaVu Sans" w:cs="DejaVu Sans"/>
          <w:sz w:val="24"/>
          <w:szCs w:val="24"/>
          <w:lang w:val="en-US" w:eastAsia="en-US" w:bidi="en-US"/>
        </w:rPr>
        <w:t>Přílohu 2 tedy zachováme, je tak?</w:t>
      </w:r>
    </w:p>
  </w:comment>
  <w:comment w:id="9" w:author="Martin Vojík" w:date="2024-09-04T09:09:00Z" w:initials="MV">
    <w:p>
      <w:r>
        <w:rPr>
          <w:rFonts w:ascii="Liberation Serif" w:hAnsi="Liberation Serif" w:eastAsia="DejaVu Sans" w:cs="DejaVu Sans"/>
          <w:sz w:val="24"/>
          <w:szCs w:val="24"/>
          <w:lang w:val="en-US" w:eastAsia="en-US" w:bidi="en-US"/>
        </w:rPr>
        <w:t>Z a) udělat „1“ a z b „2“, udělal bych to ale nemám editovatelnou verzi obrázku</w:t>
      </w:r>
    </w:p>
  </w:comment>
  <w:comment w:id="8" w:author="Martin Vojík" w:date="2024-09-04T09:07:00Z" w:initials="MV">
    <w:p>
      <w:r>
        <w:rPr>
          <w:rFonts w:ascii="Liberation Serif" w:hAnsi="Liberation Serif" w:eastAsia="DejaVu Sans" w:cs="DejaVu Sans"/>
          <w:sz w:val="24"/>
          <w:szCs w:val="24"/>
          <w:lang w:val="en-US" w:eastAsia="en-US" w:bidi="en-US"/>
        </w:rPr>
        <w:t>Tady není úplně jasné co znamená A a B…pak tu jsou skupiny C a D, to také není popsáno</w:t>
      </w:r>
    </w:p>
  </w:comment>
  <w:comment w:id="10" w:author="Jakub Rataj" w:date="2026-01-07T16:08:22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vyšší číslo -&gt; lepší stav</w:t>
      </w:r>
    </w:p>
  </w:comment>
  <w:comment w:id="11" w:author="Martin Vojík" w:date="2024-09-04T10:24:00Z" w:initials="MV">
    <w:p>
      <w:r>
        <w:rPr>
          <w:rFonts w:ascii="Liberation Serif" w:hAnsi="Liberation Serif" w:eastAsia="DejaVu Sans" w:cs="DejaVu Sans"/>
          <w:sz w:val="24"/>
          <w:szCs w:val="24"/>
          <w:lang w:val="en-US" w:eastAsia="en-US" w:bidi="en-US"/>
        </w:rPr>
        <w:t>V interpretačním manuálu je „10,4“</w:t>
      </w:r>
    </w:p>
  </w:comment>
  <w:comment w:id="12" w:author="Martin Vojík" w:date="2024-09-04T10:24:00Z" w:initials="MV">
    <w:p>
      <w:r>
        <w:rPr>
          <w:rFonts w:ascii="Liberation Serif" w:hAnsi="Liberation Serif" w:eastAsia="DejaVu Sans" w:cs="DejaVu Sans"/>
          <w:sz w:val="24"/>
          <w:szCs w:val="24"/>
          <w:lang w:val="en-US" w:eastAsia="en-US" w:bidi="en-US"/>
        </w:rPr>
        <w:t>Tamtéž uvedeno ¨“10“</w:t>
      </w:r>
    </w:p>
  </w:comment>
  <w:comment w:id="14" w:author="Martin Vojík" w:date="2024-09-04T10:26:00Z" w:initials="MV">
    <w:p>
      <w:r>
        <w:rPr>
          <w:rFonts w:ascii="Liberation Serif" w:hAnsi="Liberation Serif" w:eastAsia="DejaVu Sans" w:cs="DejaVu Sans"/>
          <w:sz w:val="24"/>
          <w:szCs w:val="24"/>
          <w:lang w:val="en-US" w:eastAsia="en-US" w:bidi="en-US"/>
        </w:rPr>
        <w:t>Chceme zde mít nějaké ty příklady z interpetačního manuálu či nikoli?</w:t>
      </w:r>
    </w:p>
  </w:comment>
  <w:comment w:id="13" w:author="Martin Vojík" w:date="2024-09-04T12:27:00Z" w:initials="MV">
    <w:p>
      <w:r>
        <w:rPr>
          <w:rFonts w:ascii="Liberation Serif" w:hAnsi="Liberation Serif" w:eastAsia="DejaVu Sans" w:cs="DejaVu Sans"/>
          <w:sz w:val="24"/>
          <w:szCs w:val="24"/>
          <w:lang w:val="en-US" w:eastAsia="en-US" w:bidi="en-US"/>
        </w:rPr>
        <w:t>Myšleno tabulky…</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Arial Unicode MS">
    <w:charset w:val="01"/>
    <w:family w:val="roman"/>
    <w:pitch w:val="variable"/>
  </w:font>
  <w:font w:name="Courier New">
    <w:charset w:val="01"/>
    <w:family w:val="roman"/>
    <w:pitch w:val="variable"/>
  </w:font>
  <w:font w:name="Calibri Light">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Na tvorbě citované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3">
    <w:p>
      <w:pPr>
        <w:pStyle w:val="Footnote"/>
        <w:rPr/>
      </w:pPr>
      <w:r>
        <w:rPr>
          <w:rStyle w:val="FootnoteCharacters"/>
        </w:rPr>
        <w:footnoteRef/>
      </w:r>
      <w:r>
        <w:rPr/>
        <w:t xml:space="preserve"> </w:t>
      </w:r>
      <w:r>
        <w:rPr/>
        <w:t>Lustyk P. (20</w:t>
      </w:r>
      <w:ins w:id="85" w:author="Martin Vojík" w:date="2024-09-04T12:28:00Z">
        <w:r>
          <w:rPr/>
          <w:t>24</w:t>
        </w:r>
      </w:ins>
      <w:del w:id="86" w:author="Martin Vojík" w:date="2024-09-04T13:14:00Z">
        <w:r>
          <w:rPr/>
          <w:delText>16): Metodika aktualizace vrstvy mapování biotopů, pracovní verze pro sezónu 20</w:delText>
        </w:r>
      </w:del>
      <w:ins w:id="87" w:author="Martin Vojík" w:date="2024-09-04T12:28:00Z">
        <w:r>
          <w:rPr/>
          <w:t>24</w:t>
        </w:r>
      </w:ins>
      <w:del w:id="88" w:author="Martin Vojík" w:date="2024-09-04T13:14:00Z">
        <w:r>
          <w:rPr/>
          <w:delText>16. – Ms., 33 p. [Depon in: Agentura ochrany přírody a krajiny ČR, Praha]</w:delText>
        </w:r>
      </w:del>
    </w:p>
  </w:footnote>
  <w:footnote w:id="4">
    <w:p>
      <w:pPr>
        <w:pStyle w:val="Footnote"/>
        <w:rPr>
          <w:del w:id="89" w:author="Martin Vojík" w:date="2024-09-04T13:14:00Z"/>
        </w:rPr>
      </w:pPr>
      <w:r>
        <w:rPr>
          <w:rStyle w:val="FootnoteCharacters"/>
        </w:rPr>
        <w:footnoteRef/>
      </w:r>
      <w:r>
        <w:rPr/>
        <w:t xml:space="preserve"> </w:t>
      </w:r>
      <w:r>
        <w:rPr/>
        <w:t>Chytrý M., Kučera T. &amp; Kočí M. [eds] (2001): Katalog biotopů České republiky. Interpretační příručka k evropským programům Natura 2000 a Smaragd. – Agentura ochrany přírody a krajiny ČR, Praha.</w:t>
      </w:r>
    </w:p>
    <w:p>
      <w:pPr>
        <w:pStyle w:val="Footnote"/>
        <w:rPr/>
      </w:pPr>
      <w:del w:id="90" w:author="Martin Vojík" w:date="2024-09-04T13:14:00Z">
        <w:r>
          <w:rPr/>
          <w:delText>Chytrý M., Kučera T., Kočí M., Grulich V. &amp; Lustyk P. [eds] (2010): Katalog biotopů České republiky, Ed. 2. – Agentura ochrany přírody a krajiny ČR, Praha.</w:delText>
        </w:r>
      </w:del>
    </w:p>
  </w:footnote>
  <w:footnote w:id="5">
    <w:p>
      <w:pPr>
        <w:pStyle w:val="Footnote"/>
        <w:rPr/>
      </w:pPr>
      <w:r>
        <w:rPr>
          <w:rStyle w:val="FootnoteCharacters"/>
        </w:rPr>
        <w:footnoteRef/>
      </w:r>
      <w:r>
        <w:rPr/>
        <w:t xml:space="preserve"> </w:t>
      </w:r>
      <w:r>
        <w:rPr/>
        <w:t>Lustyk P. [ed.] (20</w:t>
      </w:r>
      <w:ins w:id="91" w:author="Martin Vojík" w:date="2024-09-04T12:25:00Z">
        <w:r>
          <w:rPr/>
          <w:t>24</w:t>
        </w:r>
      </w:ins>
      <w:del w:id="92" w:author="Martin Vojík" w:date="2024-09-04T13:15:00Z">
        <w:r>
          <w:rPr/>
          <w:delText>15): Příručka hodnocení biotopů. – Ms., 540 p. [Depon in: Agentura ochrany přírody a krajiny ČR, Praha]</w:delText>
        </w:r>
      </w:del>
    </w:p>
  </w:footnote>
  <w:footnote w:id="6">
    <w:p>
      <w:pPr>
        <w:pStyle w:val="Footnote"/>
        <w:jc w:val="both"/>
        <w:rPr/>
      </w:pPr>
      <w:r>
        <w:rPr>
          <w:rStyle w:val="FootnoteCharacters"/>
        </w:rPr>
        <w:footnoteRef/>
      </w:r>
      <w:r>
        <w:rPr/>
        <w:t xml:space="preserve"> </w:t>
      </w:r>
      <w:r>
        <w:rPr/>
        <w:t>Platí k termínu revize této metodiky. Metodika aktualizací se nadále vyvíjí, platná je vždy poslední verze.</w:t>
      </w:r>
    </w:p>
  </w:footnote>
  <w:footnote w:id="7">
    <w:p>
      <w:pPr>
        <w:pStyle w:val="Footnote"/>
        <w:jc w:val="both"/>
        <w:rPr/>
      </w:pPr>
      <w:r>
        <w:rPr>
          <w:rStyle w:val="FootnoteCharacters"/>
        </w:rPr>
        <w:footnoteRef/>
      </w:r>
      <w:r>
        <w:rPr/>
        <w:t xml:space="preserve"> </w:t>
      </w:r>
      <w:r>
        <w:rPr/>
        <w:t>Sogaard B. et al. (2007): Criteria for favourable conservation status in Denmark. – NERI Tech. Rep. No 647, Aarhus.</w:t>
      </w:r>
    </w:p>
  </w:footnote>
  <w:footnote w:id="8">
    <w:p>
      <w:pPr>
        <w:pStyle w:val="Footnote"/>
        <w:jc w:val="both"/>
        <w:rPr/>
      </w:pPr>
      <w:r>
        <w:rPr>
          <w:rStyle w:val="FootnoteCharacters"/>
        </w:rPr>
        <w:footnoteRef/>
      </w:r>
      <w:r>
        <w:rPr/>
        <w:t xml:space="preserve"> </w:t>
      </w:r>
      <w:r>
        <w:rPr/>
        <w:t>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pPr>
        <w:pStyle w:val="Footnote"/>
        <w:rPr/>
      </w:pPr>
      <w:r>
        <w:rPr/>
        <w:t>Grulich V. (2012): Red List of vascular plants of the Czech Republic: 3rd edition. – Preslia 84: 631–645.</w:t>
      </w:r>
    </w:p>
  </w:footnote>
  <w:footnote w:id="9">
    <w:p>
      <w:pPr>
        <w:pStyle w:val="Footnote"/>
        <w:rPr/>
      </w:pPr>
      <w:r>
        <w:rPr>
          <w:rStyle w:val="FootnoteCharacters"/>
        </w:rPr>
        <w:footnoteRef/>
      </w:r>
      <w:r>
        <w:rPr/>
        <w:t xml:space="preserve"> </w:t>
      </w:r>
      <w:r>
        <w:rPr/>
        <w:t>Moravec J. (ed., 1995): Rostlinná společenstva České republiky a jejich ohrožení. 2. Vydání. Severočeskou přírodou, Litoměřice, Příloha 1995: 1-206.</w:t>
      </w:r>
    </w:p>
  </w:footnote>
  <w:footnote w:id="10">
    <w:p>
      <w:pPr>
        <w:pStyle w:val="Footnote"/>
        <w:rPr/>
      </w:pPr>
      <w:r>
        <w:rPr>
          <w:rStyle w:val="FootnoteCharacters"/>
        </w:rPr>
        <w:footnoteRef/>
      </w:r>
      <w:r>
        <w:rPr/>
        <w:t xml:space="preserve"> </w:t>
      </w:r>
      <w:r>
        <w:rPr/>
        <w:t>Kučera T. (ed., 2005): Červená kniha biotopů ČR. – In: Härtel H., Lončáková J. &amp; Hošek M. [eds] (2009): Mapování biotopů v České republice. Východiska, výsledky, perspektivy. – Agentura ochrany přírody a krajiny ČR, Praha.</w:t>
      </w:r>
    </w:p>
  </w:footnote>
  <w:footnote w:id="11">
    <w:p>
      <w:pPr>
        <w:pStyle w:val="Footnote"/>
        <w:rPr/>
      </w:pPr>
      <w:r>
        <w:rPr>
          <w:rStyle w:val="FootnoteCharacters"/>
        </w:rPr>
        <w:footnoteRef/>
      </w:r>
      <w:r>
        <w:rPr/>
        <w:t xml:space="preserve"> </w:t>
      </w:r>
      <w:r>
        <w:rPr/>
        <w:t xml:space="preserve">Je třeba rozlišovat parametr minimiareál vztahující se k dané předmětolokalitě od obecných hodnot minimiareálu biotopu / stanoviště, které byly stanoveny expertně na základě dostupných reálných dat </w:t>
      </w:r>
    </w:p>
  </w:footnote>
  <w:footnote w:id="12">
    <w:p>
      <w:pPr>
        <w:pStyle w:val="Footnote"/>
        <w:rPr/>
      </w:pPr>
      <w:r>
        <w:rPr>
          <w:rStyle w:val="FootnoteCharacters"/>
        </w:rPr>
        <w:footnoteRef/>
      </w:r>
      <w:r>
        <w:rPr/>
        <w:t xml:space="preserve"> </w:t>
      </w:r>
      <w:r>
        <w:rPr/>
        <w:t xml:space="preserve">Zde je myšlena mozaika segmentů či polygonů v rámci EVL, nikoliv mozaikovité segmenty </w:t>
      </w:r>
      <w:del w:id="93" w:author="Martin Vojík" w:date="2024-09-04T09:10:00Z">
        <w:r>
          <w:rPr/>
          <w:delText>z více</w:delText>
        </w:r>
      </w:del>
      <w:ins w:id="94" w:author="Martin Vojík" w:date="2024-09-04T09:10:00Z">
        <w:r>
          <w:rPr/>
          <w:t>tvořené více</w:t>
        </w:r>
      </w:ins>
      <w:r>
        <w:rPr/>
        <w:t xml:space="preserve"> biotop</w:t>
      </w:r>
      <w:ins w:id="95" w:author="Martin Vojík" w:date="2024-09-04T09:10:00Z">
        <w:r>
          <w:rPr/>
          <w:t>y</w:t>
        </w:r>
      </w:ins>
      <w:del w:id="96" w:author="Martin Vojík" w:date="2024-09-04T09:10:00Z">
        <w:r>
          <w:rPr/>
          <w:delText>ů</w:delText>
        </w:r>
      </w:del>
      <w:r>
        <w:rPr/>
        <w:t xml:space="preserve">. </w:t>
      </w:r>
    </w:p>
  </w:footnote>
  <w:footnote w:id="13">
    <w:p>
      <w:pPr>
        <w:pStyle w:val="Footnote"/>
        <w:rPr/>
      </w:pPr>
      <w:r>
        <w:rPr>
          <w:rStyle w:val="FootnoteCharacters"/>
        </w:rPr>
        <w:footnoteRef/>
      </w:r>
      <w:r>
        <w:rPr/>
        <w:t xml:space="preserve"> </w:t>
      </w:r>
      <w:r>
        <w:rPr/>
        <w:t xml:space="preserve">Z důvodu dosavadního nízkého pokrytí ČR floristickými daty a z toho vyplývající neexistence relevantního Červeného seznamu parožnatek není možné použít jiné dělení, než běžné a méně běžné druhy. </w:t>
      </w:r>
    </w:p>
  </w:footnote>
  <w:footnote w:id="14">
    <w:p>
      <w:pPr>
        <w:pStyle w:val="Footnote"/>
        <w:rPr/>
      </w:pPr>
      <w:r>
        <w:rPr>
          <w:rStyle w:val="FootnoteCharacters"/>
        </w:rPr>
        <w:footnoteRef/>
      </w:r>
      <w:r>
        <w:rPr/>
        <w:t xml:space="preserve"> </w:t>
      </w:r>
      <w:r>
        <w:rPr/>
        <w:t>Potenciálním biotopem se rozumí prostor v rámci segmentu/plochy, v němž by parožnatky mohly skutečně růst.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trackRevisions/>
  <w:defaultTabStop w:val="708"/>
  <w:autoHyphenation w:val="true"/>
  <w:hyphenationZone w:val="425"/>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semiHidden="1" w:unhideWhenUsed="1"/>
    <w:lsdException w:name="endnote reference" w:uiPriority="0"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8037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cs-CZ" w:eastAsia="en-US" w:bidi="ar-SA"/>
    </w:rPr>
  </w:style>
  <w:style w:type="paragraph" w:styleId="Heading1">
    <w:name w:val="Heading 1"/>
    <w:basedOn w:val="Normal"/>
    <w:uiPriority w:val="9"/>
    <w:qFormat/>
    <w:rsid w:val="000d2015"/>
    <w:pPr>
      <w:keepNext w:val="true"/>
      <w:keepLines/>
      <w:spacing w:lineRule="auto" w:line="276" w:before="120" w:after="0"/>
      <w:ind w:firstLine="567"/>
      <w:outlineLvl w:val="0"/>
    </w:pPr>
    <w:rPr>
      <w:rFonts w:ascii="Times New Roman" w:hAnsi="Times New Roman" w:eastAsia="Times New Roman" w:cs="Times New Roman"/>
      <w:b/>
      <w:bCs/>
      <w:color w:val="000000"/>
    </w:rPr>
  </w:style>
  <w:style w:type="paragraph" w:styleId="Heading2">
    <w:name w:val="Heading 2"/>
    <w:basedOn w:val="Normal"/>
    <w:next w:val="Normal"/>
    <w:uiPriority w:val="9"/>
    <w:qFormat/>
    <w:rsid w:val="000d2015"/>
    <w:pPr>
      <w:keepNext w:val="true"/>
      <w:spacing w:lineRule="auto" w:line="240" w:before="240" w:after="60"/>
      <w:outlineLvl w:val="1"/>
    </w:pPr>
    <w:rPr>
      <w:rFonts w:ascii="Calibri" w:hAnsi="Calibri" w:eastAsia="Times New Roman" w:cs="Times New Roman"/>
      <w:b/>
      <w:bCs/>
      <w:sz w:val="28"/>
      <w:szCs w:val="28"/>
      <w:lang w:val="en-US"/>
    </w:rPr>
  </w:style>
  <w:style w:type="paragraph" w:styleId="Heading3">
    <w:name w:val="Heading 3"/>
    <w:basedOn w:val="Normal"/>
    <w:next w:val="Normal"/>
    <w:uiPriority w:val="9"/>
    <w:qFormat/>
    <w:rsid w:val="000d2015"/>
    <w:pPr>
      <w:keepNext w:val="true"/>
      <w:keepLines/>
      <w:tabs>
        <w:tab w:val="clear" w:pos="708"/>
        <w:tab w:val="left" w:pos="720" w:leader="none"/>
      </w:tabs>
      <w:spacing w:lineRule="auto" w:line="276" w:before="200" w:after="0"/>
      <w:ind w:left="720" w:hanging="720"/>
      <w:outlineLvl w:val="2"/>
    </w:pPr>
    <w:rPr>
      <w:rFonts w:ascii="Cambria" w:hAnsi="Cambria" w:eastAsia="Times New Roman" w:cs="Times New Roman"/>
      <w:b/>
      <w:bCs/>
      <w:color w:val="4F81BD"/>
      <w:lang w:val="en-US" w:eastAsia="ar-SA"/>
    </w:rPr>
  </w:style>
  <w:style w:type="paragraph" w:styleId="Heading4">
    <w:name w:val="Heading 4"/>
    <w:basedOn w:val="Normal"/>
    <w:next w:val="Normal"/>
    <w:link w:val="Nadpis4Char"/>
    <w:qFormat/>
    <w:rsid w:val="000d2015"/>
    <w:pPr>
      <w:keepNext w:val="true"/>
      <w:tabs>
        <w:tab w:val="clear" w:pos="708"/>
        <w:tab w:val="left" w:pos="864" w:leader="none"/>
      </w:tabs>
      <w:spacing w:lineRule="auto" w:line="240" w:before="0" w:after="0"/>
      <w:ind w:firstLine="397"/>
      <w:jc w:val="center"/>
      <w:outlineLvl w:val="3"/>
    </w:pPr>
    <w:rPr>
      <w:rFonts w:ascii="Times New Roman" w:hAnsi="Times New Roman" w:eastAsia="Times New Roman" w:cs="Times New Roman"/>
      <w:b/>
      <w:bCs/>
      <w:sz w:val="44"/>
      <w:szCs w:val="44"/>
      <w:lang w:val="hu-HU" w:eastAsia="ar-SA"/>
    </w:rPr>
  </w:style>
  <w:style w:type="paragraph" w:styleId="Heading7">
    <w:name w:val="Heading 7"/>
    <w:basedOn w:val="Normal"/>
    <w:next w:val="Normal"/>
    <w:link w:val="Nadpis7Char"/>
    <w:autoRedefine/>
    <w:qFormat/>
    <w:rsid w:val="000d2015"/>
    <w:pPr>
      <w:keepNext w:val="true"/>
      <w:tabs>
        <w:tab w:val="clear" w:pos="708"/>
        <w:tab w:val="left" w:pos="1296" w:leader="none"/>
      </w:tabs>
      <w:spacing w:lineRule="auto" w:line="240" w:before="0" w:after="0"/>
      <w:ind w:firstLine="397"/>
      <w:jc w:val="both"/>
      <w:outlineLvl w:val="6"/>
    </w:pPr>
    <w:rPr>
      <w:rFonts w:ascii="Times New Roman" w:hAnsi="Times New Roman" w:eastAsia="Times New Roman" w:cs="Times New Roman"/>
      <w:b/>
      <w:bCs/>
      <w:color w:val="000000"/>
      <w:sz w:val="28"/>
      <w:szCs w:val="24"/>
      <w:lang w:val="hu-HU" w:eastAsia="ar-SA"/>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Nadpis1"/>
    <w:uiPriority w:val="9"/>
    <w:qFormat/>
    <w:rsid w:val="000d2015"/>
    <w:rPr>
      <w:rFonts w:ascii="Times New Roman" w:hAnsi="Times New Roman" w:eastAsia="Times New Roman" w:cs="Times New Roman"/>
      <w:b/>
      <w:bCs/>
      <w:color w:val="000000"/>
    </w:rPr>
  </w:style>
  <w:style w:type="character" w:styleId="Nadpis2Char" w:customStyle="1">
    <w:name w:val="Nadpis 2 Char"/>
    <w:basedOn w:val="DefaultParagraphFont"/>
    <w:link w:val="Nadpis2"/>
    <w:uiPriority w:val="9"/>
    <w:qFormat/>
    <w:rsid w:val="000d2015"/>
    <w:rPr>
      <w:rFonts w:ascii="Calibri" w:hAnsi="Calibri" w:eastAsia="Times New Roman" w:cs="Times New Roman"/>
      <w:b/>
      <w:bCs/>
      <w:sz w:val="28"/>
      <w:szCs w:val="28"/>
      <w:lang w:val="en-US"/>
    </w:rPr>
  </w:style>
  <w:style w:type="character" w:styleId="Nadpis3Char" w:customStyle="1">
    <w:name w:val="Nadpis 3 Char"/>
    <w:basedOn w:val="DefaultParagraphFont"/>
    <w:link w:val="Nadpis3"/>
    <w:uiPriority w:val="9"/>
    <w:qFormat/>
    <w:rsid w:val="000d2015"/>
    <w:rPr>
      <w:rFonts w:ascii="Cambria" w:hAnsi="Cambria" w:eastAsia="Times New Roman" w:cs="Times New Roman"/>
      <w:b/>
      <w:bCs/>
      <w:color w:val="4F81BD"/>
      <w:lang w:val="en-US" w:eastAsia="ar-SA"/>
    </w:rPr>
  </w:style>
  <w:style w:type="character" w:styleId="Nadpis4Char" w:customStyle="1">
    <w:name w:val="Nadpis 4 Char"/>
    <w:basedOn w:val="DefaultParagraphFont"/>
    <w:link w:val="Heading4"/>
    <w:qFormat/>
    <w:rsid w:val="000d2015"/>
    <w:rPr>
      <w:rFonts w:ascii="Times New Roman" w:hAnsi="Times New Roman" w:eastAsia="Times New Roman" w:cs="Times New Roman"/>
      <w:b/>
      <w:bCs/>
      <w:sz w:val="44"/>
      <w:szCs w:val="44"/>
      <w:lang w:val="hu-HU" w:eastAsia="ar-SA"/>
    </w:rPr>
  </w:style>
  <w:style w:type="character" w:styleId="Nadpis7Char" w:customStyle="1">
    <w:name w:val="Nadpis 7 Char"/>
    <w:basedOn w:val="DefaultParagraphFont"/>
    <w:link w:val="Heading7"/>
    <w:qFormat/>
    <w:rsid w:val="000d2015"/>
    <w:rPr>
      <w:rFonts w:ascii="Times New Roman" w:hAnsi="Times New Roman" w:eastAsia="Times New Roman" w:cs="Times New Roman"/>
      <w:b/>
      <w:bCs/>
      <w:color w:val="000000"/>
      <w:sz w:val="28"/>
      <w:szCs w:val="24"/>
      <w:lang w:val="hu-HU" w:eastAsia="ar-SA"/>
    </w:rPr>
  </w:style>
  <w:style w:type="character" w:styleId="TextbublinyChar" w:customStyle="1">
    <w:name w:val="Text bubliny Char"/>
    <w:basedOn w:val="DefaultParagraphFont"/>
    <w:link w:val="BalloonText"/>
    <w:uiPriority w:val="99"/>
    <w:qFormat/>
    <w:rsid w:val="000d2015"/>
    <w:rPr>
      <w:rFonts w:ascii="Tahoma" w:hAnsi="Tahoma" w:eastAsia="Calibri" w:cs="Tahoma"/>
      <w:sz w:val="16"/>
      <w:szCs w:val="16"/>
      <w:lang w:val="en-GB"/>
    </w:rPr>
  </w:style>
  <w:style w:type="character" w:styleId="Nadpis2Char1" w:customStyle="1">
    <w:name w:val="Nadpis_2 Char"/>
    <w:basedOn w:val="DefaultParagraphFont"/>
    <w:qFormat/>
    <w:rsid w:val="000d2015"/>
    <w:rPr>
      <w:rFonts w:ascii="Times New Roman" w:hAnsi="Times New Roman" w:eastAsia="Batang" w:cs="Times New Roman"/>
      <w:i/>
      <w:iCs/>
      <w:sz w:val="24"/>
      <w:szCs w:val="24"/>
    </w:rPr>
  </w:style>
  <w:style w:type="character" w:styleId="Nadpis3Char1" w:customStyle="1">
    <w:name w:val="Nadpis_3 Char"/>
    <w:basedOn w:val="DefaultParagraphFont"/>
    <w:qFormat/>
    <w:rsid w:val="000d2015"/>
    <w:rPr>
      <w:rFonts w:ascii="Calibri" w:hAnsi="Calibri" w:eastAsia="Batang" w:cs="Calibri"/>
      <w:sz w:val="24"/>
      <w:szCs w:val="24"/>
      <w:u w:val="single"/>
    </w:rPr>
  </w:style>
  <w:style w:type="character" w:styleId="ZpatChar" w:customStyle="1">
    <w:name w:val="Zápatí Char"/>
    <w:basedOn w:val="DefaultParagraphFont"/>
    <w:link w:val="Footer"/>
    <w:uiPriority w:val="99"/>
    <w:qFormat/>
    <w:rsid w:val="000d2015"/>
    <w:rPr>
      <w:rFonts w:ascii="Calibri" w:hAnsi="Calibri" w:eastAsia="Calibri" w:cs="Calibri"/>
    </w:rPr>
  </w:style>
  <w:style w:type="character" w:styleId="Nadpis1Char1" w:customStyle="1">
    <w:name w:val="Nadpis_1 Char"/>
    <w:qFormat/>
    <w:rsid w:val="000d2015"/>
    <w:rPr>
      <w:rFonts w:ascii="Times New Roman" w:hAnsi="Times New Roman" w:cs="Times New Roman"/>
      <w:b/>
      <w:bCs/>
      <w:sz w:val="24"/>
      <w:szCs w:val="24"/>
    </w:rPr>
  </w:style>
  <w:style w:type="character" w:styleId="InternetLink">
    <w:name w:val="Hyperlink"/>
    <w:basedOn w:val="DefaultParagraphFont"/>
    <w:uiPriority w:val="99"/>
    <w:rsid w:val="000d2015"/>
    <w:rPr>
      <w:color w:val="0000FF"/>
      <w:u w:val="single"/>
    </w:rPr>
  </w:style>
  <w:style w:type="character" w:styleId="Nadpis2CharChar" w:customStyle="1">
    <w:name w:val="Nadpis_2 Char Char"/>
    <w:qFormat/>
    <w:rsid w:val="000d2015"/>
    <w:rPr>
      <w:rFonts w:ascii="Calibri" w:hAnsi="Calibri" w:eastAsia="Batang" w:cs="Calibri"/>
      <w:i/>
      <w:sz w:val="24"/>
      <w:szCs w:val="24"/>
      <w:lang w:val="cs-CZ" w:eastAsia="en-US" w:bidi="ar-SA"/>
    </w:rPr>
  </w:style>
  <w:style w:type="character" w:styleId="ZkladntextChar" w:customStyle="1">
    <w:name w:val="Základní text Char"/>
    <w:link w:val="Tlotextu"/>
    <w:qFormat/>
    <w:rsid w:val="000d2015"/>
    <w:rPr>
      <w:rFonts w:cs="Times New Roman"/>
    </w:rPr>
  </w:style>
  <w:style w:type="character" w:styleId="ZhlavChar" w:customStyle="1">
    <w:name w:val="Záhlaví Char"/>
    <w:basedOn w:val="DefaultParagraphFont"/>
    <w:link w:val="Header"/>
    <w:uiPriority w:val="99"/>
    <w:qFormat/>
    <w:rsid w:val="000d2015"/>
    <w:rPr>
      <w:rFonts w:eastAsia="Batang"/>
    </w:rPr>
  </w:style>
  <w:style w:type="character" w:styleId="TextkomenteChar" w:customStyle="1">
    <w:name w:val="Text komentáře Char"/>
    <w:basedOn w:val="DefaultParagraphFont"/>
    <w:link w:val="Annotationtext"/>
    <w:uiPriority w:val="99"/>
    <w:qFormat/>
    <w:rsid w:val="000d2015"/>
    <w:rPr>
      <w:rFonts w:eastAsia="Batang"/>
      <w:sz w:val="20"/>
      <w:szCs w:val="20"/>
    </w:rPr>
  </w:style>
  <w:style w:type="character" w:styleId="TextkomenteChar1" w:customStyle="1">
    <w:name w:val="Text komentáře Char1"/>
    <w:basedOn w:val="DefaultParagraphFont"/>
    <w:uiPriority w:val="99"/>
    <w:qFormat/>
    <w:rsid w:val="000d2015"/>
    <w:rPr>
      <w:sz w:val="20"/>
      <w:szCs w:val="20"/>
    </w:rPr>
  </w:style>
  <w:style w:type="character" w:styleId="PedmtkomenteChar" w:customStyle="1">
    <w:name w:val="Předmět komentáře Char"/>
    <w:basedOn w:val="TextkomenteChar"/>
    <w:link w:val="Annotationsubject"/>
    <w:qFormat/>
    <w:rsid w:val="000d2015"/>
    <w:rPr>
      <w:rFonts w:eastAsia="Batang"/>
      <w:b/>
      <w:bCs/>
      <w:sz w:val="20"/>
      <w:szCs w:val="20"/>
    </w:rPr>
  </w:style>
  <w:style w:type="character" w:styleId="PedmtkomenteChar1" w:customStyle="1">
    <w:name w:val="Předmět komentáře Char1"/>
    <w:basedOn w:val="TextkomenteChar1"/>
    <w:uiPriority w:val="99"/>
    <w:semiHidden/>
    <w:qFormat/>
    <w:rsid w:val="000d2015"/>
    <w:rPr>
      <w:b/>
      <w:bCs/>
      <w:sz w:val="20"/>
      <w:szCs w:val="20"/>
    </w:rPr>
  </w:style>
  <w:style w:type="character" w:styleId="Appleconvertedspace" w:customStyle="1">
    <w:name w:val="apple-converted-space"/>
    <w:basedOn w:val="DefaultParagraphFont"/>
    <w:qFormat/>
    <w:rsid w:val="000d2015"/>
    <w:rPr/>
  </w:style>
  <w:style w:type="character" w:styleId="EndNoteBibliographyChar" w:customStyle="1">
    <w:name w:val="EndNote Bibliography Char"/>
    <w:basedOn w:val="Nadpis2Char1"/>
    <w:link w:val="EndNoteBibliography"/>
    <w:qFormat/>
    <w:rsid w:val="000d2015"/>
    <w:rPr>
      <w:rFonts w:ascii="Calibri" w:hAnsi="Calibri" w:eastAsia="Batang" w:cs="Calibri"/>
      <w:i w:val="false"/>
      <w:iCs w:val="false"/>
      <w:sz w:val="24"/>
      <w:szCs w:val="24"/>
      <w:lang w:val="en-US"/>
    </w:rPr>
  </w:style>
  <w:style w:type="character" w:styleId="Zkladntext2Char" w:customStyle="1">
    <w:name w:val="Základní text 2 Char"/>
    <w:basedOn w:val="DefaultParagraphFont"/>
    <w:link w:val="BodyText2"/>
    <w:semiHidden/>
    <w:qFormat/>
    <w:rsid w:val="000d2015"/>
    <w:rPr>
      <w:rFonts w:ascii="Arial" w:hAnsi="Arial" w:eastAsia="Calibri" w:cs="Arial"/>
      <w:color w:val="FF0000"/>
      <w:sz w:val="24"/>
      <w:szCs w:val="24"/>
    </w:rPr>
  </w:style>
  <w:style w:type="character" w:styleId="Fetext" w:customStyle="1">
    <w:name w:val="fetext"/>
    <w:basedOn w:val="DefaultParagraphFont"/>
    <w:qFormat/>
    <w:rsid w:val="000d2015"/>
    <w:rPr/>
  </w:style>
  <w:style w:type="character" w:styleId="Annotationreference">
    <w:name w:val="annotation reference"/>
    <w:basedOn w:val="DefaultParagraphFont"/>
    <w:semiHidden/>
    <w:unhideWhenUsed/>
    <w:qFormat/>
    <w:rsid w:val="000d2015"/>
    <w:rPr>
      <w:sz w:val="16"/>
      <w:szCs w:val="16"/>
    </w:rPr>
  </w:style>
  <w:style w:type="character" w:styleId="TextpoznpodarouChar" w:customStyle="1">
    <w:name w:val="Text pozn. pod čarou Char"/>
    <w:basedOn w:val="DefaultParagraphFont"/>
    <w:link w:val="Footnote"/>
    <w:qFormat/>
    <w:rsid w:val="000d2015"/>
    <w:rPr>
      <w:rFonts w:eastAsia="Batang"/>
      <w:sz w:val="20"/>
      <w:szCs w:val="20"/>
    </w:rPr>
  </w:style>
  <w:style w:type="character" w:styleId="FootnoteCharacters" w:customStyle="1">
    <w:name w:val="Footnote Characters"/>
    <w:qFormat/>
    <w:rPr>
      <w:vertAlign w:val="superscript"/>
    </w:rPr>
  </w:style>
  <w:style w:type="character" w:styleId="FootnoteAnchor">
    <w:name w:val="Footnote Reference"/>
    <w:rPr>
      <w:vertAlign w:val="superscript"/>
    </w:rPr>
  </w:style>
  <w:style w:type="character" w:styleId="FontStyle89" w:customStyle="1">
    <w:name w:val="Font Style89"/>
    <w:basedOn w:val="DefaultParagraphFont"/>
    <w:uiPriority w:val="99"/>
    <w:qFormat/>
    <w:rsid w:val="000d2015"/>
    <w:rPr>
      <w:rFonts w:ascii="Times New Roman" w:hAnsi="Times New Roman" w:cs="Times New Roman"/>
      <w:smallCaps/>
      <w:color w:val="000000"/>
      <w:sz w:val="14"/>
      <w:szCs w:val="14"/>
    </w:rPr>
  </w:style>
  <w:style w:type="character" w:styleId="FontStyle98" w:customStyle="1">
    <w:name w:val="Font Style98"/>
    <w:basedOn w:val="DefaultParagraphFont"/>
    <w:uiPriority w:val="99"/>
    <w:qFormat/>
    <w:rsid w:val="000d2015"/>
    <w:rPr>
      <w:rFonts w:ascii="Times New Roman" w:hAnsi="Times New Roman" w:cs="Times New Roman"/>
      <w:color w:val="000000"/>
      <w:sz w:val="14"/>
      <w:szCs w:val="14"/>
    </w:rPr>
  </w:style>
  <w:style w:type="character" w:styleId="FontStyle97" w:customStyle="1">
    <w:name w:val="Font Style97"/>
    <w:basedOn w:val="DefaultParagraphFont"/>
    <w:uiPriority w:val="99"/>
    <w:qFormat/>
    <w:rsid w:val="000d2015"/>
    <w:rPr>
      <w:rFonts w:ascii="Times New Roman" w:hAnsi="Times New Roman" w:cs="Times New Roman"/>
      <w:smallCaps/>
      <w:color w:val="000000"/>
      <w:sz w:val="18"/>
      <w:szCs w:val="18"/>
    </w:rPr>
  </w:style>
  <w:style w:type="character" w:styleId="Zkladntextodsazen3Char" w:customStyle="1">
    <w:name w:val="Základní text odsazený 3 Char"/>
    <w:basedOn w:val="DefaultParagraphFont"/>
    <w:link w:val="BodyTextIndent3"/>
    <w:qFormat/>
    <w:rsid w:val="000d2015"/>
    <w:rPr>
      <w:rFonts w:ascii="Times New Roman" w:hAnsi="Times New Roman" w:eastAsia="Times New Roman" w:cs="Times New Roman"/>
      <w:sz w:val="16"/>
      <w:szCs w:val="16"/>
      <w:lang w:eastAsia="cs-CZ"/>
    </w:rPr>
  </w:style>
  <w:style w:type="character" w:styleId="St" w:customStyle="1">
    <w:name w:val="st"/>
    <w:basedOn w:val="DefaultParagraphFont"/>
    <w:qFormat/>
    <w:rsid w:val="000d2015"/>
    <w:rPr/>
  </w:style>
  <w:style w:type="character" w:styleId="Standardnpsmoodstavce1" w:customStyle="1">
    <w:name w:val="Standardní písmo odstavce1"/>
    <w:qFormat/>
    <w:rsid w:val="000d2015"/>
    <w:rPr/>
  </w:style>
  <w:style w:type="character" w:styleId="Znakypropoznmkupodarou" w:customStyle="1">
    <w:name w:val="Znaky pro poznámku pod čarou"/>
    <w:qFormat/>
    <w:rsid w:val="000d2015"/>
    <w:rPr>
      <w:vertAlign w:val="superscript"/>
    </w:rPr>
  </w:style>
  <w:style w:type="character" w:styleId="Zkladntext3Char" w:customStyle="1">
    <w:name w:val="Základní text 3 Char"/>
    <w:qFormat/>
    <w:rsid w:val="000d2015"/>
    <w:rPr>
      <w:rFonts w:ascii="Times New Roman" w:hAnsi="Times New Roman" w:eastAsia="Times New Roman" w:cs="Times New Roman"/>
      <w:color w:val="000000"/>
      <w:sz w:val="24"/>
      <w:szCs w:val="24"/>
      <w:lang w:val="cs-CZ"/>
    </w:rPr>
  </w:style>
  <w:style w:type="character" w:styleId="Odkaznakoment1" w:customStyle="1">
    <w:name w:val="Odkaz na komentář1"/>
    <w:qFormat/>
    <w:rsid w:val="000d2015"/>
    <w:rPr>
      <w:sz w:val="16"/>
      <w:szCs w:val="16"/>
    </w:rPr>
  </w:style>
  <w:style w:type="character" w:styleId="ZkladntextodsazenChar" w:customStyle="1">
    <w:name w:val="Základní text odsazený Char"/>
    <w:basedOn w:val="Standardnpsmoodstavce1"/>
    <w:qFormat/>
    <w:rsid w:val="000d2015"/>
    <w:rPr/>
  </w:style>
  <w:style w:type="character" w:styleId="EndnoteCharacters" w:customStyle="1">
    <w:name w:val="Endnote Characters"/>
    <w:qFormat/>
    <w:rPr>
      <w:vertAlign w:val="superscript"/>
    </w:rPr>
  </w:style>
  <w:style w:type="character" w:styleId="EndnoteAnchor">
    <w:name w:val="Endnote Reference"/>
    <w:rPr>
      <w:vertAlign w:val="superscript"/>
    </w:rPr>
  </w:style>
  <w:style w:type="character" w:styleId="Znakyprovysvtlivky" w:customStyle="1">
    <w:name w:val="Znaky pro vysvětlivky"/>
    <w:qFormat/>
    <w:rsid w:val="000d2015"/>
    <w:rPr/>
  </w:style>
  <w:style w:type="character" w:styleId="ZkladntextChar1" w:customStyle="1">
    <w:name w:val="Základní text Char1"/>
    <w:basedOn w:val="DefaultParagraphFont"/>
    <w:qFormat/>
    <w:rsid w:val="000d2015"/>
    <w:rPr>
      <w:rFonts w:ascii="Calibri" w:hAnsi="Calibri" w:eastAsia="Calibri" w:cs="Times New Roman"/>
      <w:lang w:val="en-US" w:eastAsia="ar-SA"/>
    </w:rPr>
  </w:style>
  <w:style w:type="character" w:styleId="ZkladntextodsazenChar1" w:customStyle="1">
    <w:name w:val="Základní text odsazený Char1"/>
    <w:basedOn w:val="DefaultParagraphFont"/>
    <w:qFormat/>
    <w:rsid w:val="000d2015"/>
    <w:rPr>
      <w:rFonts w:ascii="Calibri" w:hAnsi="Calibri" w:eastAsia="Calibri" w:cs="Times New Roman"/>
      <w:lang w:val="en-US" w:eastAsia="ar-SA"/>
    </w:rPr>
  </w:style>
  <w:style w:type="character" w:styleId="Styl1Char" w:customStyle="1">
    <w:name w:val="Styl1 Char"/>
    <w:basedOn w:val="DefaultParagraphFont"/>
    <w:link w:val="Styl1"/>
    <w:qFormat/>
    <w:rsid w:val="000d2015"/>
    <w:rPr>
      <w:rFonts w:ascii="Times New Roman" w:hAnsi="Times New Roman" w:cs="Times New Roman"/>
      <w:sz w:val="28"/>
      <w:szCs w:val="28"/>
    </w:rPr>
  </w:style>
  <w:style w:type="character" w:styleId="Emphasis">
    <w:name w:val="Emphasis"/>
    <w:basedOn w:val="DefaultParagraphFont"/>
    <w:uiPriority w:val="20"/>
    <w:qFormat/>
    <w:rsid w:val="000d2015"/>
    <w:rPr>
      <w:i/>
      <w:iCs/>
    </w:rPr>
  </w:style>
  <w:style w:type="character" w:styleId="VisitedInternetLink">
    <w:name w:val="FollowedHyperlink"/>
    <w:basedOn w:val="DefaultParagraphFont"/>
    <w:uiPriority w:val="99"/>
    <w:semiHidden/>
    <w:unhideWhenUsed/>
    <w:rsid w:val="00500dfc"/>
    <w:rPr>
      <w:color w:val="954F72" w:themeColor="followedHyperlink"/>
      <w:u w:val="single"/>
    </w:rPr>
  </w:style>
  <w:style w:type="character" w:styleId="LineNumbering">
    <w:name w:val="Line Number"/>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ZkladntextChar1"/>
    <w:rsid w:val="000d2015"/>
    <w:pPr>
      <w:spacing w:lineRule="auto" w:line="276" w:before="0" w:after="120"/>
    </w:pPr>
    <w:rPr>
      <w:rFonts w:ascii="Calibri" w:hAnsi="Calibri" w:eastAsia="Calibri" w:cs="Times New Roman"/>
      <w:lang w:val="en-US" w:eastAsia="ar-SA"/>
    </w:rPr>
  </w:style>
  <w:style w:type="paragraph" w:styleId="List">
    <w:name w:val="List"/>
    <w:basedOn w:val="TextBody"/>
    <w:rsid w:val="000d2015"/>
    <w:pPr/>
    <w:rPr>
      <w:rFonts w:cs="Mang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99"/>
    <w:unhideWhenUsed/>
    <w:qFormat/>
    <w:rsid w:val="000d2015"/>
    <w:pPr>
      <w:spacing w:lineRule="auto" w:line="240" w:before="0" w:after="200"/>
    </w:pPr>
    <w:rPr>
      <w:rFonts w:eastAsia="Batang"/>
      <w:i/>
      <w:iCs/>
      <w:color w:val="44546A" w:themeColor="text2"/>
      <w:sz w:val="18"/>
      <w:szCs w:val="18"/>
    </w:rPr>
  </w:style>
  <w:style w:type="paragraph" w:styleId="ListParagraph">
    <w:name w:val="List Paragraph"/>
    <w:basedOn w:val="Normal"/>
    <w:qFormat/>
    <w:rsid w:val="000d2015"/>
    <w:pPr>
      <w:spacing w:lineRule="auto" w:line="276" w:before="0" w:after="0"/>
      <w:ind w:left="720" w:firstLine="567"/>
      <w:contextualSpacing/>
    </w:pPr>
    <w:rPr>
      <w:rFonts w:ascii="Calibri" w:hAnsi="Calibri" w:eastAsia="Calibri" w:cs="Times New Roman"/>
    </w:rPr>
  </w:style>
  <w:style w:type="paragraph" w:styleId="BalloonText">
    <w:name w:val="Balloon Text"/>
    <w:basedOn w:val="Normal"/>
    <w:link w:val="TextbublinyChar"/>
    <w:uiPriority w:val="99"/>
    <w:qFormat/>
    <w:rsid w:val="000d2015"/>
    <w:pPr>
      <w:spacing w:lineRule="auto" w:line="240" w:before="0" w:after="0"/>
      <w:ind w:firstLine="567"/>
    </w:pPr>
    <w:rPr>
      <w:rFonts w:ascii="Tahoma" w:hAnsi="Tahoma" w:eastAsia="Calibri" w:cs="Tahoma"/>
      <w:sz w:val="16"/>
      <w:szCs w:val="16"/>
      <w:lang w:val="en-GB"/>
    </w:rPr>
  </w:style>
  <w:style w:type="paragraph" w:styleId="Nadpis2" w:customStyle="1">
    <w:name w:val="Nadpis_2"/>
    <w:basedOn w:val="Normal"/>
    <w:link w:val="Nadpis2Char"/>
    <w:qFormat/>
    <w:rsid w:val="000d2015"/>
    <w:pPr>
      <w:spacing w:lineRule="auto" w:line="276" w:before="0" w:after="0"/>
      <w:jc w:val="both"/>
    </w:pPr>
    <w:rPr>
      <w:rFonts w:ascii="Times New Roman" w:hAnsi="Times New Roman" w:eastAsia="Batang" w:cs="Times New Roman"/>
      <w:i/>
      <w:iCs/>
      <w:sz w:val="24"/>
      <w:szCs w:val="24"/>
    </w:rPr>
  </w:style>
  <w:style w:type="paragraph" w:styleId="Nadpis3" w:customStyle="1">
    <w:name w:val="Nadpis_3"/>
    <w:basedOn w:val="Normal"/>
    <w:link w:val="Nadpis3Char"/>
    <w:qFormat/>
    <w:rsid w:val="000d2015"/>
    <w:pPr>
      <w:spacing w:lineRule="auto" w:line="276" w:before="0" w:after="0"/>
    </w:pPr>
    <w:rPr>
      <w:rFonts w:ascii="Calibri" w:hAnsi="Calibri" w:eastAsia="Batang" w:cs="Calibri"/>
      <w:sz w:val="24"/>
      <w:szCs w:val="24"/>
      <w:u w:val="single"/>
    </w:rPr>
  </w:style>
  <w:style w:type="paragraph" w:styleId="HeaderandFooter" w:customStyle="1">
    <w:name w:val="Header and Footer"/>
    <w:basedOn w:val="Normal"/>
    <w:qFormat/>
    <w:pPr/>
    <w:rPr/>
  </w:style>
  <w:style w:type="paragraph" w:styleId="Footer">
    <w:name w:val="Footer"/>
    <w:basedOn w:val="Normal"/>
    <w:link w:val="ZpatChar"/>
    <w:uiPriority w:val="99"/>
    <w:unhideWhenUsed/>
    <w:rsid w:val="000d2015"/>
    <w:pPr>
      <w:tabs>
        <w:tab w:val="clear" w:pos="708"/>
        <w:tab w:val="center" w:pos="4536" w:leader="none"/>
        <w:tab w:val="right" w:pos="9072" w:leader="none"/>
      </w:tabs>
      <w:spacing w:lineRule="auto" w:line="240" w:before="0" w:after="0"/>
    </w:pPr>
    <w:rPr>
      <w:rFonts w:ascii="Calibri" w:hAnsi="Calibri" w:eastAsia="Calibri" w:cs="Calibri"/>
    </w:rPr>
  </w:style>
  <w:style w:type="paragraph" w:styleId="Nadpis1" w:customStyle="1">
    <w:name w:val="Nadpis_1"/>
    <w:basedOn w:val="Normal"/>
    <w:link w:val="Nadpis1Char"/>
    <w:qFormat/>
    <w:rsid w:val="000d2015"/>
    <w:pPr>
      <w:spacing w:lineRule="auto" w:line="276" w:before="0" w:after="0"/>
      <w:jc w:val="both"/>
    </w:pPr>
    <w:rPr>
      <w:rFonts w:ascii="Times New Roman" w:hAnsi="Times New Roman" w:cs="Times New Roman"/>
      <w:b/>
      <w:bCs/>
      <w:sz w:val="24"/>
      <w:szCs w:val="24"/>
    </w:rPr>
  </w:style>
  <w:style w:type="paragraph" w:styleId="Odstavecseseznamem1" w:customStyle="1">
    <w:name w:val="Odstavec se seznamem1"/>
    <w:basedOn w:val="Normal"/>
    <w:qFormat/>
    <w:rsid w:val="000d2015"/>
    <w:pPr>
      <w:spacing w:lineRule="auto" w:line="240" w:before="240" w:after="0"/>
      <w:ind w:left="720" w:hanging="0"/>
      <w:contextualSpacing/>
    </w:pPr>
    <w:rPr>
      <w:rFonts w:ascii="Calibri" w:hAnsi="Calibri" w:eastAsia="Calibri" w:cs="Calibri"/>
      <w:sz w:val="24"/>
      <w:szCs w:val="24"/>
      <w:lang w:val="en-GB" w:eastAsia="zh-CN"/>
    </w:rPr>
  </w:style>
  <w:style w:type="paragraph" w:styleId="Odstavecseseznamem2" w:customStyle="1">
    <w:name w:val="Odstavec se seznamem2"/>
    <w:basedOn w:val="Normal"/>
    <w:qFormat/>
    <w:rsid w:val="000d2015"/>
    <w:pPr>
      <w:spacing w:lineRule="auto" w:line="276" w:before="0" w:after="200"/>
      <w:ind w:left="720" w:hanging="0"/>
    </w:pPr>
    <w:rPr>
      <w:rFonts w:ascii="Calibri" w:hAnsi="Calibri" w:eastAsia="Times New Roman" w:cs="Calibri"/>
    </w:rPr>
  </w:style>
  <w:style w:type="paragraph" w:styleId="Tlotextu" w:customStyle="1">
    <w:name w:val="Tělo textu"/>
    <w:basedOn w:val="Normal"/>
    <w:link w:val="ZkladntextChar"/>
    <w:qFormat/>
    <w:rsid w:val="000d2015"/>
    <w:pPr>
      <w:spacing w:before="0" w:after="120"/>
    </w:pPr>
    <w:rPr>
      <w:rFonts w:cs="Times New Roman"/>
    </w:rPr>
  </w:style>
  <w:style w:type="paragraph" w:styleId="Style21" w:customStyle="1">
    <w:name w:val="Style21"/>
    <w:basedOn w:val="Normal"/>
    <w:uiPriority w:val="99"/>
    <w:qFormat/>
    <w:rsid w:val="000d2015"/>
    <w:pPr>
      <w:widowControl w:val="false"/>
      <w:spacing w:lineRule="exact" w:line="391" w:before="0" w:after="0"/>
      <w:ind w:firstLine="1061"/>
      <w:jc w:val="both"/>
    </w:pPr>
    <w:rPr>
      <w:rFonts w:ascii="Arial Unicode MS" w:hAnsi="Arial Unicode MS" w:eastAsia="Times New Roman" w:cs="Arial Unicode MS"/>
      <w:sz w:val="24"/>
      <w:szCs w:val="24"/>
      <w:lang w:eastAsia="cs-CZ"/>
    </w:rPr>
  </w:style>
  <w:style w:type="paragraph" w:styleId="Header">
    <w:name w:val="Header"/>
    <w:basedOn w:val="Normal"/>
    <w:link w:val="ZhlavChar"/>
    <w:uiPriority w:val="99"/>
    <w:unhideWhenUsed/>
    <w:rsid w:val="000d2015"/>
    <w:pPr>
      <w:tabs>
        <w:tab w:val="clear" w:pos="708"/>
        <w:tab w:val="center" w:pos="4536" w:leader="none"/>
        <w:tab w:val="right" w:pos="9072" w:leader="none"/>
      </w:tabs>
      <w:spacing w:lineRule="auto" w:line="240" w:before="0" w:after="0"/>
    </w:pPr>
    <w:rPr>
      <w:rFonts w:eastAsia="Batang"/>
    </w:rPr>
  </w:style>
  <w:style w:type="paragraph" w:styleId="Annotationtext">
    <w:name w:val="annotation text"/>
    <w:basedOn w:val="Normal"/>
    <w:link w:val="TextkomenteChar"/>
    <w:uiPriority w:val="99"/>
    <w:unhideWhenUsed/>
    <w:qFormat/>
    <w:rsid w:val="000d2015"/>
    <w:pPr>
      <w:spacing w:lineRule="auto" w:line="240" w:before="0" w:after="200"/>
    </w:pPr>
    <w:rPr>
      <w:rFonts w:eastAsia="Batang"/>
      <w:sz w:val="20"/>
      <w:szCs w:val="20"/>
    </w:rPr>
  </w:style>
  <w:style w:type="paragraph" w:styleId="Annotationsubject">
    <w:name w:val="annotation subject"/>
    <w:basedOn w:val="Annotationtext"/>
    <w:next w:val="Annotationtext"/>
    <w:link w:val="PedmtkomenteChar"/>
    <w:unhideWhenUsed/>
    <w:qFormat/>
    <w:rsid w:val="000d2015"/>
    <w:pPr/>
    <w:rPr>
      <w:b/>
      <w:bCs/>
    </w:rPr>
  </w:style>
  <w:style w:type="paragraph" w:styleId="NoSpacing">
    <w:name w:val="No Spacing"/>
    <w:uiPriority w:val="1"/>
    <w:qFormat/>
    <w:rsid w:val="000d2015"/>
    <w:pPr>
      <w:widowControl/>
      <w:suppressAutoHyphens w:val="true"/>
      <w:bidi w:val="0"/>
      <w:spacing w:before="0" w:after="0"/>
      <w:jc w:val="left"/>
    </w:pPr>
    <w:rPr>
      <w:rFonts w:ascii="Times New Roman" w:hAnsi="Times New Roman" w:eastAsia="Times New Roman" w:cs="Times New Roman"/>
      <w:color w:val="auto"/>
      <w:kern w:val="0"/>
      <w:sz w:val="24"/>
      <w:szCs w:val="24"/>
      <w:lang w:val="cs-CZ" w:eastAsia="cs-CZ" w:bidi="ar-SA"/>
    </w:rPr>
  </w:style>
  <w:style w:type="paragraph" w:styleId="Default" w:customStyle="1">
    <w:name w:val="Default"/>
    <w:qFormat/>
    <w:rsid w:val="000d2015"/>
    <w:pPr>
      <w:widowControl/>
      <w:suppressAutoHyphens w:val="true"/>
      <w:bidi w:val="0"/>
      <w:spacing w:before="0" w:after="0"/>
      <w:jc w:val="left"/>
    </w:pPr>
    <w:rPr>
      <w:rFonts w:ascii="Times New Roman" w:hAnsi="Times New Roman" w:eastAsia="Calibri" w:cs="Times New Roman"/>
      <w:color w:val="000000"/>
      <w:kern w:val="0"/>
      <w:sz w:val="24"/>
      <w:szCs w:val="24"/>
      <w:lang w:val="cs-CZ" w:eastAsia="en-US" w:bidi="ar-SA"/>
    </w:rPr>
  </w:style>
  <w:style w:type="paragraph" w:styleId="EndNoteBibliography" w:customStyle="1">
    <w:name w:val="EndNote Bibliography"/>
    <w:basedOn w:val="Normal"/>
    <w:link w:val="EndNoteBibliographyChar"/>
    <w:qFormat/>
    <w:rsid w:val="000d2015"/>
    <w:pPr>
      <w:spacing w:lineRule="auto" w:line="240" w:before="0" w:after="200"/>
    </w:pPr>
    <w:rPr>
      <w:rFonts w:ascii="Calibri" w:hAnsi="Calibri" w:eastAsia="Batang" w:cs="Calibri"/>
      <w:sz w:val="24"/>
      <w:szCs w:val="24"/>
      <w:lang w:val="en-US"/>
    </w:rPr>
  </w:style>
  <w:style w:type="paragraph" w:styleId="BodyText2">
    <w:name w:val="Body Text 2"/>
    <w:basedOn w:val="Normal"/>
    <w:link w:val="Zkladntext2Char"/>
    <w:semiHidden/>
    <w:qFormat/>
    <w:rsid w:val="000d2015"/>
    <w:pPr>
      <w:spacing w:lineRule="auto" w:line="240" w:before="0" w:after="0"/>
    </w:pPr>
    <w:rPr>
      <w:rFonts w:ascii="Arial" w:hAnsi="Arial" w:eastAsia="Calibri" w:cs="Arial"/>
      <w:color w:val="FF0000"/>
      <w:sz w:val="24"/>
      <w:szCs w:val="24"/>
    </w:rPr>
  </w:style>
  <w:style w:type="paragraph" w:styleId="Footnote">
    <w:name w:val="Footnote Text"/>
    <w:basedOn w:val="Normal"/>
    <w:link w:val="TextpoznpodarouChar"/>
    <w:unhideWhenUsed/>
    <w:rsid w:val="000d2015"/>
    <w:pPr>
      <w:spacing w:lineRule="auto" w:line="240" w:before="0" w:after="0"/>
    </w:pPr>
    <w:rPr>
      <w:rFonts w:eastAsia="Batang"/>
      <w:sz w:val="20"/>
      <w:szCs w:val="20"/>
    </w:rPr>
  </w:style>
  <w:style w:type="paragraph" w:styleId="NormalWeb">
    <w:name w:val="Normal (Web)"/>
    <w:basedOn w:val="Normal"/>
    <w:qFormat/>
    <w:rsid w:val="000d2015"/>
    <w:pPr>
      <w:spacing w:lineRule="auto" w:line="240" w:beforeAutospacing="1" w:afterAutospacing="1"/>
    </w:pPr>
    <w:rPr>
      <w:rFonts w:ascii="Arial" w:hAnsi="Arial" w:eastAsia="Times New Roman" w:cs="Arial"/>
      <w:color w:val="000000"/>
      <w:sz w:val="8"/>
      <w:szCs w:val="8"/>
      <w:lang w:eastAsia="cs-CZ"/>
    </w:rPr>
  </w:style>
  <w:style w:type="paragraph" w:styleId="Style24" w:customStyle="1">
    <w:name w:val="Style24"/>
    <w:basedOn w:val="Normal"/>
    <w:uiPriority w:val="99"/>
    <w:qFormat/>
    <w:rsid w:val="000d2015"/>
    <w:pPr>
      <w:widowControl w:val="false"/>
      <w:spacing w:lineRule="exact" w:line="216" w:before="0" w:after="0"/>
      <w:ind w:hanging="283"/>
      <w:jc w:val="both"/>
    </w:pPr>
    <w:rPr>
      <w:rFonts w:ascii="Times New Roman" w:hAnsi="Times New Roman" w:eastAsia="Times New Roman" w:cs="Times New Roman"/>
      <w:color w:val="000000"/>
      <w:sz w:val="24"/>
      <w:szCs w:val="24"/>
      <w:lang w:eastAsia="cs-CZ"/>
    </w:rPr>
  </w:style>
  <w:style w:type="paragraph" w:styleId="Style42" w:customStyle="1">
    <w:name w:val="Style42"/>
    <w:basedOn w:val="Normal"/>
    <w:uiPriority w:val="99"/>
    <w:qFormat/>
    <w:rsid w:val="000d2015"/>
    <w:pPr>
      <w:widowControl w:val="false"/>
      <w:spacing w:lineRule="auto" w:line="240" w:before="0" w:after="0"/>
      <w:jc w:val="both"/>
    </w:pPr>
    <w:rPr>
      <w:rFonts w:ascii="Times New Roman" w:hAnsi="Times New Roman" w:eastAsia="Times New Roman" w:cs="Times New Roman"/>
      <w:color w:val="000000"/>
      <w:sz w:val="24"/>
      <w:szCs w:val="24"/>
      <w:lang w:eastAsia="cs-CZ"/>
    </w:rPr>
  </w:style>
  <w:style w:type="paragraph" w:styleId="Radek" w:customStyle="1">
    <w:name w:val="radek"/>
    <w:basedOn w:val="Normal"/>
    <w:qFormat/>
    <w:rsid w:val="000d2015"/>
    <w:pPr>
      <w:spacing w:lineRule="auto" w:line="240" w:beforeAutospacing="1" w:after="150"/>
      <w:jc w:val="both"/>
    </w:pPr>
    <w:rPr>
      <w:rFonts w:ascii="Arial Unicode MS" w:hAnsi="Arial Unicode MS" w:eastAsia="Arial Unicode MS" w:cs="Arial Unicode MS"/>
      <w:sz w:val="24"/>
      <w:szCs w:val="24"/>
      <w:lang w:eastAsia="cs-CZ"/>
    </w:rPr>
  </w:style>
  <w:style w:type="paragraph" w:styleId="BodyTextIndent3">
    <w:name w:val="Body Text Indent 3"/>
    <w:basedOn w:val="Normal"/>
    <w:link w:val="Zkladntextodsazen3Char"/>
    <w:qFormat/>
    <w:rsid w:val="000d2015"/>
    <w:pPr>
      <w:spacing w:lineRule="auto" w:line="240" w:before="0" w:after="120"/>
      <w:ind w:left="283" w:hanging="0"/>
    </w:pPr>
    <w:rPr>
      <w:rFonts w:ascii="Times New Roman" w:hAnsi="Times New Roman" w:eastAsia="Times New Roman" w:cs="Times New Roman"/>
      <w:sz w:val="16"/>
      <w:szCs w:val="16"/>
      <w:lang w:eastAsia="cs-CZ"/>
    </w:rPr>
  </w:style>
  <w:style w:type="paragraph" w:styleId="Nadpis" w:customStyle="1">
    <w:name w:val="Nadpis"/>
    <w:basedOn w:val="Normal"/>
    <w:next w:val="TextBody"/>
    <w:qFormat/>
    <w:rsid w:val="000d2015"/>
    <w:pPr>
      <w:keepNext w:val="true"/>
      <w:spacing w:lineRule="auto" w:line="276" w:before="240" w:after="120"/>
    </w:pPr>
    <w:rPr>
      <w:rFonts w:ascii="Arial" w:hAnsi="Arial" w:eastAsia="Microsoft YaHei" w:cs="Mangal"/>
      <w:sz w:val="28"/>
      <w:szCs w:val="28"/>
      <w:lang w:val="en-US" w:eastAsia="ar-SA"/>
    </w:rPr>
  </w:style>
  <w:style w:type="paragraph" w:styleId="Popisek" w:customStyle="1">
    <w:name w:val="Popisek"/>
    <w:basedOn w:val="Normal"/>
    <w:qFormat/>
    <w:rsid w:val="000d2015"/>
    <w:pPr>
      <w:suppressLineNumbers/>
      <w:spacing w:lineRule="auto" w:line="276" w:before="120" w:after="120"/>
    </w:pPr>
    <w:rPr>
      <w:rFonts w:ascii="Calibri" w:hAnsi="Calibri" w:eastAsia="Calibri" w:cs="Mangal"/>
      <w:i/>
      <w:iCs/>
      <w:sz w:val="24"/>
      <w:szCs w:val="24"/>
      <w:lang w:val="en-US" w:eastAsia="ar-SA"/>
    </w:rPr>
  </w:style>
  <w:style w:type="paragraph" w:styleId="Rejstk" w:customStyle="1">
    <w:name w:val="Rejstřík"/>
    <w:basedOn w:val="Normal"/>
    <w:qFormat/>
    <w:rsid w:val="000d2015"/>
    <w:pPr>
      <w:suppressLineNumbers/>
      <w:spacing w:lineRule="auto" w:line="276" w:before="0" w:after="200"/>
    </w:pPr>
    <w:rPr>
      <w:rFonts w:ascii="Calibri" w:hAnsi="Calibri" w:eastAsia="Calibri" w:cs="Mangal"/>
      <w:lang w:val="en-US" w:eastAsia="ar-SA"/>
    </w:rPr>
  </w:style>
  <w:style w:type="paragraph" w:styleId="Zkladntext31" w:customStyle="1">
    <w:name w:val="Základní text 31"/>
    <w:basedOn w:val="Normal"/>
    <w:qFormat/>
    <w:rsid w:val="000d2015"/>
    <w:pPr>
      <w:spacing w:lineRule="auto" w:line="240" w:before="0" w:after="0"/>
      <w:jc w:val="both"/>
    </w:pPr>
    <w:rPr>
      <w:rFonts w:ascii="Times New Roman" w:hAnsi="Times New Roman" w:eastAsia="Times New Roman" w:cs="Times New Roman"/>
      <w:color w:val="000000"/>
      <w:sz w:val="24"/>
      <w:szCs w:val="24"/>
      <w:lang w:eastAsia="ar-SA"/>
    </w:rPr>
  </w:style>
  <w:style w:type="paragraph" w:styleId="Textkomente1" w:customStyle="1">
    <w:name w:val="Text komentáře1"/>
    <w:basedOn w:val="Normal"/>
    <w:qFormat/>
    <w:rsid w:val="000d2015"/>
    <w:pPr>
      <w:spacing w:lineRule="auto" w:line="240" w:before="0" w:after="200"/>
    </w:pPr>
    <w:rPr>
      <w:rFonts w:ascii="Calibri" w:hAnsi="Calibri" w:eastAsia="Calibri" w:cs="Times New Roman"/>
      <w:sz w:val="20"/>
      <w:szCs w:val="20"/>
      <w:lang w:val="x-none" w:eastAsia="ar-SA"/>
    </w:rPr>
  </w:style>
  <w:style w:type="paragraph" w:styleId="TextBodyIndent">
    <w:name w:val="Body Text Indent"/>
    <w:basedOn w:val="Normal"/>
    <w:link w:val="ZkladntextodsazenChar1"/>
    <w:rsid w:val="000d2015"/>
    <w:pPr>
      <w:spacing w:lineRule="auto" w:line="276" w:before="0" w:after="120"/>
      <w:ind w:left="360" w:hanging="0"/>
    </w:pPr>
    <w:rPr>
      <w:rFonts w:ascii="Calibri" w:hAnsi="Calibri" w:eastAsia="Calibri" w:cs="Times New Roman"/>
      <w:lang w:val="en-US" w:eastAsia="ar-SA"/>
    </w:rPr>
  </w:style>
  <w:style w:type="paragraph" w:styleId="Obsahtabulky" w:customStyle="1">
    <w:name w:val="Obsah tabulky"/>
    <w:basedOn w:val="Normal"/>
    <w:qFormat/>
    <w:rsid w:val="000d2015"/>
    <w:pPr>
      <w:suppressLineNumbers/>
      <w:spacing w:lineRule="auto" w:line="276" w:before="0" w:after="200"/>
    </w:pPr>
    <w:rPr>
      <w:rFonts w:ascii="Calibri" w:hAnsi="Calibri" w:eastAsia="Calibri" w:cs="Times New Roman"/>
      <w:lang w:val="en-US" w:eastAsia="ar-SA"/>
    </w:rPr>
  </w:style>
  <w:style w:type="paragraph" w:styleId="Nadpistabulky" w:customStyle="1">
    <w:name w:val="Nadpis tabulky"/>
    <w:basedOn w:val="Obsahtabulky"/>
    <w:qFormat/>
    <w:rsid w:val="000d2015"/>
    <w:pPr>
      <w:jc w:val="center"/>
    </w:pPr>
    <w:rPr>
      <w:b/>
      <w:bCs/>
    </w:rPr>
  </w:style>
  <w:style w:type="paragraph" w:styleId="Import3" w:customStyle="1">
    <w:name w:val="Import 3"/>
    <w:basedOn w:val="Normal"/>
    <w:qFormat/>
    <w:rsid w:val="000d2015"/>
    <w:pPr>
      <w:widowControl w:val="false"/>
      <w:tabs>
        <w:tab w:val="clear" w:pos="708"/>
        <w:tab w:val="left" w:pos="720" w:leader="none"/>
        <w:tab w:val="left" w:pos="1584" w:leader="none"/>
        <w:tab w:val="left" w:pos="2448" w:leader="none"/>
        <w:tab w:val="left" w:pos="3312" w:leader="none"/>
        <w:tab w:val="left" w:pos="4176" w:leader="none"/>
        <w:tab w:val="left" w:pos="5040" w:leader="none"/>
        <w:tab w:val="left" w:pos="5904" w:leader="none"/>
        <w:tab w:val="left" w:pos="6768" w:leader="none"/>
        <w:tab w:val="left" w:pos="7632" w:leader="none"/>
        <w:tab w:val="left" w:pos="8496" w:leader="none"/>
        <w:tab w:val="left" w:pos="9360" w:leader="none"/>
        <w:tab w:val="left" w:pos="10224" w:leader="none"/>
        <w:tab w:val="left" w:pos="11088" w:leader="none"/>
        <w:tab w:val="left" w:pos="11952" w:leader="none"/>
        <w:tab w:val="left" w:pos="12816" w:leader="none"/>
        <w:tab w:val="left" w:pos="13680" w:leader="none"/>
        <w:tab w:val="left" w:pos="14544" w:leader="none"/>
        <w:tab w:val="left" w:pos="15408" w:leader="none"/>
        <w:tab w:val="left" w:pos="16272" w:leader="none"/>
        <w:tab w:val="left" w:pos="17136" w:leader="none"/>
        <w:tab w:val="left" w:pos="18000" w:leader="none"/>
        <w:tab w:val="left" w:pos="18864" w:leader="none"/>
      </w:tabs>
      <w:spacing w:lineRule="auto" w:line="240" w:before="0" w:after="0"/>
      <w:ind w:hanging="288"/>
    </w:pPr>
    <w:rPr>
      <w:rFonts w:ascii="Courier New" w:hAnsi="Courier New" w:eastAsia="Times New Roman" w:cs="Courier New"/>
      <w:sz w:val="24"/>
      <w:szCs w:val="24"/>
      <w:lang w:eastAsia="cs-CZ"/>
    </w:rPr>
  </w:style>
  <w:style w:type="paragraph" w:styleId="Font5" w:customStyle="1">
    <w:name w:val="font5"/>
    <w:basedOn w:val="Normal"/>
    <w:qFormat/>
    <w:rsid w:val="000d2015"/>
    <w:pPr>
      <w:spacing w:lineRule="auto" w:line="240" w:beforeAutospacing="1" w:afterAutospacing="1"/>
    </w:pPr>
    <w:rPr>
      <w:rFonts w:ascii="Tahoma" w:hAnsi="Tahoma" w:eastAsia="Times New Roman" w:cs="Tahoma"/>
      <w:color w:val="000000"/>
      <w:sz w:val="18"/>
      <w:szCs w:val="18"/>
      <w:lang w:val="en-US"/>
    </w:rPr>
  </w:style>
  <w:style w:type="paragraph" w:styleId="Font6" w:customStyle="1">
    <w:name w:val="font6"/>
    <w:basedOn w:val="Normal"/>
    <w:qFormat/>
    <w:rsid w:val="000d2015"/>
    <w:pPr>
      <w:spacing w:lineRule="auto" w:line="240" w:beforeAutospacing="1" w:afterAutospacing="1"/>
    </w:pPr>
    <w:rPr>
      <w:rFonts w:ascii="Tahoma" w:hAnsi="Tahoma" w:eastAsia="Times New Roman" w:cs="Tahoma"/>
      <w:b/>
      <w:bCs/>
      <w:color w:val="000000"/>
      <w:sz w:val="18"/>
      <w:szCs w:val="18"/>
      <w:lang w:val="en-US"/>
    </w:rPr>
  </w:style>
  <w:style w:type="paragraph" w:styleId="Font7" w:customStyle="1">
    <w:name w:val="font7"/>
    <w:basedOn w:val="Normal"/>
    <w:qFormat/>
    <w:rsid w:val="000d2015"/>
    <w:pPr>
      <w:spacing w:lineRule="auto" w:line="240" w:beforeAutospacing="1" w:afterAutospacing="1"/>
    </w:pPr>
    <w:rPr>
      <w:rFonts w:ascii="Calibri" w:hAnsi="Calibri" w:eastAsia="Times New Roman" w:cs="Times New Roman"/>
      <w:color w:val="000000"/>
      <w:sz w:val="20"/>
      <w:szCs w:val="20"/>
      <w:lang w:val="en-US"/>
    </w:rPr>
  </w:style>
  <w:style w:type="paragraph" w:styleId="Font8" w:customStyle="1">
    <w:name w:val="font8"/>
    <w:basedOn w:val="Normal"/>
    <w:qFormat/>
    <w:rsid w:val="000d2015"/>
    <w:pPr>
      <w:spacing w:lineRule="auto" w:line="240" w:beforeAutospacing="1" w:afterAutospacing="1"/>
    </w:pPr>
    <w:rPr>
      <w:rFonts w:ascii="Calibri" w:hAnsi="Calibri" w:eastAsia="Times New Roman" w:cs="Times New Roman"/>
      <w:i/>
      <w:iCs/>
      <w:color w:val="000000"/>
      <w:sz w:val="20"/>
      <w:szCs w:val="20"/>
      <w:lang w:val="en-US"/>
    </w:rPr>
  </w:style>
  <w:style w:type="paragraph" w:styleId="Xl63" w:customStyle="1">
    <w:name w:val="xl63"/>
    <w:basedOn w:val="Normal"/>
    <w:qFormat/>
    <w:rsid w:val="000d2015"/>
    <w:pPr>
      <w:spacing w:lineRule="auto" w:line="240" w:beforeAutospacing="1" w:afterAutospacing="1"/>
    </w:pPr>
    <w:rPr>
      <w:rFonts w:ascii="Times New Roman" w:hAnsi="Times New Roman" w:eastAsia="Times New Roman" w:cs="Times New Roman"/>
      <w:sz w:val="24"/>
      <w:szCs w:val="24"/>
      <w:lang w:val="en-US"/>
    </w:rPr>
  </w:style>
  <w:style w:type="paragraph" w:styleId="Xl64" w:customStyle="1">
    <w:name w:val="xl64"/>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65" w:customStyle="1">
    <w:name w:val="xl6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pPr>
    <w:rPr>
      <w:rFonts w:ascii="Times New Roman" w:hAnsi="Times New Roman" w:eastAsia="Times New Roman" w:cs="Times New Roman"/>
      <w:sz w:val="24"/>
      <w:szCs w:val="24"/>
      <w:lang w:val="en-US"/>
    </w:rPr>
  </w:style>
  <w:style w:type="paragraph" w:styleId="Xl66" w:customStyle="1">
    <w:name w:val="xl66"/>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textAlignment w:val="center"/>
    </w:pPr>
    <w:rPr>
      <w:rFonts w:ascii="Calibri" w:hAnsi="Calibri" w:eastAsia="Times New Roman" w:cs="Times New Roman"/>
      <w:b/>
      <w:bCs/>
      <w:sz w:val="20"/>
      <w:szCs w:val="20"/>
      <w:lang w:val="en-US"/>
    </w:rPr>
  </w:style>
  <w:style w:type="paragraph" w:styleId="Xl67" w:customStyle="1">
    <w:name w:val="xl67"/>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8" w:customStyle="1">
    <w:name w:val="xl68"/>
    <w:basedOn w:val="Normal"/>
    <w:qFormat/>
    <w:rsid w:val="000d2015"/>
    <w:pPr>
      <w:pBdr>
        <w:top w:val="single" w:sz="8" w:space="0" w:color="000000"/>
        <w:left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9" w:customStyle="1">
    <w:name w:val="xl69"/>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70" w:customStyle="1">
    <w:name w:val="xl70"/>
    <w:basedOn w:val="Normal"/>
    <w:qFormat/>
    <w:rsid w:val="000d2015"/>
    <w:pPr>
      <w:pBdr>
        <w:top w:val="single" w:sz="8" w:space="0" w:color="000000"/>
        <w:left w:val="single" w:sz="8" w:space="0" w:color="000000"/>
        <w:right w:val="single" w:sz="8"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1" w:customStyle="1">
    <w:name w:val="xl71"/>
    <w:basedOn w:val="Normal"/>
    <w:qFormat/>
    <w:rsid w:val="000d2015"/>
    <w:pPr>
      <w:pBdr>
        <w:top w:val="single" w:sz="4" w:space="0" w:color="000000"/>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2" w:customStyle="1">
    <w:name w:val="xl72"/>
    <w:basedOn w:val="Normal"/>
    <w:qFormat/>
    <w:rsid w:val="000d2015"/>
    <w:pPr>
      <w:pBdr>
        <w:top w:val="single" w:sz="4" w:space="0" w:color="000000"/>
        <w:left w:val="single" w:sz="4" w:space="0" w:color="000000"/>
        <w:bottom w:val="single" w:sz="4" w:space="0" w:color="000000"/>
        <w:right w:val="single" w:sz="4" w:space="0" w:color="000000"/>
      </w:pBdr>
      <w:shd w:val="clear" w:color="000000" w:fill="FF99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3" w:customStyle="1">
    <w:name w:val="xl73"/>
    <w:basedOn w:val="Normal"/>
    <w:qFormat/>
    <w:rsid w:val="000d2015"/>
    <w:pPr>
      <w:pBdr>
        <w:top w:val="single" w:sz="4" w:space="0" w:color="000000"/>
        <w:left w:val="single" w:sz="4" w:space="0" w:color="000000"/>
        <w:bottom w:val="single" w:sz="4" w:space="0" w:color="000000"/>
        <w:right w:val="single" w:sz="4" w:space="0" w:color="000000"/>
      </w:pBdr>
      <w:shd w:val="clear" w:color="000000" w:fill="0066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4" w:customStyle="1">
    <w:name w:val="xl74"/>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5" w:customStyle="1">
    <w:name w:val="xl75"/>
    <w:basedOn w:val="Normal"/>
    <w:qFormat/>
    <w:rsid w:val="000d2015"/>
    <w:pP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76" w:customStyle="1">
    <w:name w:val="xl76"/>
    <w:basedOn w:val="Normal"/>
    <w:qFormat/>
    <w:rsid w:val="000d2015"/>
    <w:pPr>
      <w:pBdr>
        <w:top w:val="single" w:sz="4" w:space="0" w:color="000000"/>
        <w:left w:val="single" w:sz="4" w:space="0" w:color="000000"/>
        <w:bottom w:val="single" w:sz="4" w:space="0" w:color="000000"/>
        <w:right w:val="single" w:sz="4" w:space="0" w:color="000000"/>
      </w:pBdr>
      <w:shd w:val="clear" w:color="000000" w:fill="A6A6A6"/>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7" w:customStyle="1">
    <w:name w:val="xl77"/>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8" w:customStyle="1">
    <w:name w:val="xl78"/>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79" w:customStyle="1">
    <w:name w:val="xl79"/>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0"/>
      <w:szCs w:val="20"/>
      <w:lang w:val="en-US"/>
    </w:rPr>
  </w:style>
  <w:style w:type="paragraph" w:styleId="Xl80" w:customStyle="1">
    <w:name w:val="xl80"/>
    <w:basedOn w:val="Normal"/>
    <w:qFormat/>
    <w:rsid w:val="000d2015"/>
    <w:pPr>
      <w:pBdr>
        <w:top w:val="single" w:sz="4" w:space="0" w:color="000000"/>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81" w:customStyle="1">
    <w:name w:val="xl81"/>
    <w:basedOn w:val="Normal"/>
    <w:qFormat/>
    <w:rsid w:val="000d2015"/>
    <w:pPr>
      <w:pBdr>
        <w:top w:val="single" w:sz="4" w:space="0" w:color="000000"/>
        <w:left w:val="single" w:sz="4" w:space="0" w:color="000000"/>
        <w:bottom w:val="single" w:sz="4" w:space="0" w:color="000000"/>
        <w:right w:val="single" w:sz="4" w:space="0" w:color="000000"/>
      </w:pBdr>
      <w:shd w:val="clear" w:color="000000" w:fill="FFF2CC"/>
      <w:spacing w:lineRule="auto" w:line="240" w:beforeAutospacing="1" w:afterAutospacing="1"/>
      <w:jc w:val="center"/>
    </w:pPr>
    <w:rPr>
      <w:rFonts w:ascii="Calibri" w:hAnsi="Calibri" w:eastAsia="Times New Roman" w:cs="Times New Roman"/>
      <w:sz w:val="24"/>
      <w:szCs w:val="24"/>
      <w:lang w:val="en-US"/>
    </w:rPr>
  </w:style>
  <w:style w:type="paragraph" w:styleId="Xl82" w:customStyle="1">
    <w:name w:val="xl82"/>
    <w:basedOn w:val="Normal"/>
    <w:qFormat/>
    <w:rsid w:val="000d2015"/>
    <w:pPr>
      <w:pBdr>
        <w:top w:val="single" w:sz="4" w:space="0" w:color="000000"/>
        <w:left w:val="single" w:sz="4" w:space="0" w:color="000000"/>
        <w:bottom w:val="single" w:sz="4" w:space="0" w:color="000000"/>
        <w:right w:val="single" w:sz="4" w:space="0" w:color="000000"/>
      </w:pBdr>
      <w:shd w:val="clear" w:color="000000" w:fill="FCE4D6"/>
      <w:spacing w:lineRule="auto" w:line="240" w:beforeAutospacing="1" w:afterAutospacing="1"/>
      <w:jc w:val="center"/>
    </w:pPr>
    <w:rPr>
      <w:rFonts w:ascii="Calibri" w:hAnsi="Calibri" w:eastAsia="Times New Roman" w:cs="Times New Roman"/>
      <w:sz w:val="24"/>
      <w:szCs w:val="24"/>
      <w:lang w:val="en-US"/>
    </w:rPr>
  </w:style>
  <w:style w:type="paragraph" w:styleId="Xl83" w:customStyle="1">
    <w:name w:val="xl8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84" w:customStyle="1">
    <w:name w:val="xl84"/>
    <w:basedOn w:val="Normal"/>
    <w:qFormat/>
    <w:rsid w:val="000d2015"/>
    <w:pPr>
      <w:pBdr>
        <w:top w:val="single" w:sz="4" w:space="0" w:color="000000"/>
        <w:left w:val="single" w:sz="4" w:space="0" w:color="000000"/>
        <w:bottom w:val="single" w:sz="4" w:space="0" w:color="000000"/>
        <w:right w:val="single" w:sz="4" w:space="0" w:color="000000"/>
      </w:pBdr>
      <w:shd w:val="clear" w:color="000000" w:fill="EDEDED"/>
      <w:spacing w:lineRule="auto" w:line="240" w:beforeAutospacing="1" w:afterAutospacing="1"/>
      <w:jc w:val="center"/>
    </w:pPr>
    <w:rPr>
      <w:rFonts w:ascii="Calibri" w:hAnsi="Calibri" w:eastAsia="Times New Roman" w:cs="Times New Roman"/>
      <w:sz w:val="24"/>
      <w:szCs w:val="24"/>
      <w:lang w:val="en-US"/>
    </w:rPr>
  </w:style>
  <w:style w:type="paragraph" w:styleId="Xl85" w:customStyle="1">
    <w:name w:val="xl85"/>
    <w:basedOn w:val="Normal"/>
    <w:qFormat/>
    <w:rsid w:val="000d2015"/>
    <w:pPr>
      <w:pBdr>
        <w:top w:val="single" w:sz="4" w:space="0" w:color="000000"/>
        <w:left w:val="single" w:sz="4" w:space="0" w:color="000000"/>
        <w:bottom w:val="single" w:sz="4" w:space="0" w:color="000000"/>
        <w:right w:val="single" w:sz="4" w:space="0" w:color="000000"/>
      </w:pBdr>
      <w:shd w:val="clear" w:color="000000" w:fill="F2F2F2"/>
      <w:spacing w:lineRule="auto" w:line="240" w:beforeAutospacing="1" w:afterAutospacing="1"/>
      <w:jc w:val="center"/>
    </w:pPr>
    <w:rPr>
      <w:rFonts w:ascii="Calibri" w:hAnsi="Calibri" w:eastAsia="Times New Roman" w:cs="Times New Roman"/>
      <w:sz w:val="24"/>
      <w:szCs w:val="24"/>
      <w:lang w:val="en-US"/>
    </w:rPr>
  </w:style>
  <w:style w:type="paragraph" w:styleId="Xl86" w:customStyle="1">
    <w:name w:val="xl86"/>
    <w:basedOn w:val="Normal"/>
    <w:qFormat/>
    <w:rsid w:val="000d2015"/>
    <w:pPr>
      <w:pBdr>
        <w:top w:val="single" w:sz="4" w:space="0" w:color="000000"/>
        <w:left w:val="single" w:sz="4" w:space="0" w:color="000000"/>
        <w:bottom w:val="single" w:sz="4" w:space="0" w:color="000000"/>
        <w:right w:val="single" w:sz="4" w:space="0" w:color="000000"/>
      </w:pBdr>
      <w:shd w:val="clear" w:color="000000" w:fill="E2EFDA"/>
      <w:spacing w:lineRule="auto" w:line="240" w:beforeAutospacing="1" w:afterAutospacing="1"/>
      <w:jc w:val="center"/>
    </w:pPr>
    <w:rPr>
      <w:rFonts w:ascii="Calibri" w:hAnsi="Calibri" w:eastAsia="Times New Roman" w:cs="Times New Roman"/>
      <w:sz w:val="24"/>
      <w:szCs w:val="24"/>
      <w:lang w:val="en-US"/>
    </w:rPr>
  </w:style>
  <w:style w:type="paragraph" w:styleId="Xl87" w:customStyle="1">
    <w:name w:val="xl87"/>
    <w:basedOn w:val="Normal"/>
    <w:qFormat/>
    <w:rsid w:val="000d2015"/>
    <w:pPr>
      <w:pBdr>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88" w:customStyle="1">
    <w:name w:val="xl88"/>
    <w:basedOn w:val="Normal"/>
    <w:qFormat/>
    <w:rsid w:val="000d2015"/>
    <w:pPr>
      <w:pBdr>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89" w:customStyle="1">
    <w:name w:val="xl89"/>
    <w:basedOn w:val="Normal"/>
    <w:qFormat/>
    <w:rsid w:val="000d2015"/>
    <w:pPr>
      <w:pBdr>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90" w:customStyle="1">
    <w:name w:val="xl90"/>
    <w:basedOn w:val="Normal"/>
    <w:qFormat/>
    <w:rsid w:val="000d2015"/>
    <w:pPr>
      <w:pBdr>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91" w:customStyle="1">
    <w:name w:val="xl91"/>
    <w:basedOn w:val="Normal"/>
    <w:qFormat/>
    <w:rsid w:val="000d2015"/>
    <w:pPr>
      <w:pBdr>
        <w:top w:val="single" w:sz="8" w:space="0" w:color="000000"/>
        <w:left w:val="single" w:sz="4" w:space="0" w:color="000000"/>
        <w:bottom w:val="single" w:sz="8" w:space="0" w:color="000000"/>
        <w:right w:val="single" w:sz="4"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2" w:customStyle="1">
    <w:name w:val="xl92"/>
    <w:basedOn w:val="Normal"/>
    <w:qFormat/>
    <w:rsid w:val="000d2015"/>
    <w:pPr>
      <w:pBdr>
        <w:top w:val="single" w:sz="8" w:space="0" w:color="000000"/>
        <w:left w:val="single" w:sz="4" w:space="0" w:color="000000"/>
        <w:bottom w:val="single" w:sz="8" w:space="0" w:color="000000"/>
        <w:right w:val="single" w:sz="8"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3" w:customStyle="1">
    <w:name w:val="xl9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pPr>
    <w:rPr>
      <w:rFonts w:ascii="Times New Roman" w:hAnsi="Times New Roman" w:eastAsia="Times New Roman" w:cs="Times New Roman"/>
      <w:sz w:val="24"/>
      <w:szCs w:val="24"/>
      <w:lang w:val="en-US"/>
    </w:rPr>
  </w:style>
  <w:style w:type="paragraph" w:styleId="Xl94" w:customStyle="1">
    <w:name w:val="xl94"/>
    <w:basedOn w:val="Normal"/>
    <w:qFormat/>
    <w:rsid w:val="000d2015"/>
    <w:pPr>
      <w:pBdr>
        <w:top w:val="single" w:sz="8" w:space="0" w:color="000000"/>
        <w:bottom w:val="single" w:sz="8" w:space="0" w:color="000000"/>
        <w:right w:val="single" w:sz="8" w:space="0" w:color="000000"/>
      </w:pBdr>
      <w:shd w:val="clear" w:color="000000" w:fill="FFFF0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5" w:customStyle="1">
    <w:name w:val="xl9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Contents2">
    <w:name w:val="TOC 2"/>
    <w:basedOn w:val="Normal"/>
    <w:next w:val="Normal"/>
    <w:autoRedefine/>
    <w:uiPriority w:val="39"/>
    <w:rsid w:val="000d2015"/>
    <w:pPr>
      <w:tabs>
        <w:tab w:val="clear" w:pos="708"/>
        <w:tab w:val="left" w:pos="880" w:leader="none"/>
        <w:tab w:val="right" w:pos="8211" w:leader="dot"/>
      </w:tabs>
      <w:spacing w:lineRule="auto" w:line="240" w:before="0" w:after="0"/>
      <w:ind w:left="220" w:hanging="0"/>
    </w:pPr>
    <w:rPr>
      <w:rFonts w:ascii="Times New Roman" w:hAnsi="Times New Roman" w:eastAsia="Times New Roman" w:cs="Times New Roman"/>
      <w:sz w:val="23"/>
      <w:szCs w:val="23"/>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0d2015"/>
    <w:pPr>
      <w:spacing w:lineRule="auto" w:line="259" w:before="240" w:after="0"/>
      <w:ind w:hanging="0"/>
    </w:pPr>
    <w:rPr>
      <w:rFonts w:ascii="Calibri Light" w:hAnsi="Calibri Light" w:eastAsia="" w:cs="" w:asciiTheme="majorHAnsi" w:cstheme="majorBidi" w:eastAsiaTheme="majorEastAsia" w:hAnsiTheme="majorHAnsi"/>
      <w:b w:val="false"/>
      <w:bCs w:val="false"/>
      <w:color w:val="2E74B5" w:themeColor="accent1" w:themeShade="bf"/>
      <w:sz w:val="32"/>
      <w:szCs w:val="32"/>
      <w:lang w:eastAsia="cs-CZ"/>
    </w:rPr>
  </w:style>
  <w:style w:type="paragraph" w:styleId="Contents1">
    <w:name w:val="TOC 1"/>
    <w:basedOn w:val="Normal"/>
    <w:next w:val="Normal"/>
    <w:autoRedefine/>
    <w:uiPriority w:val="39"/>
    <w:unhideWhenUsed/>
    <w:rsid w:val="000d2015"/>
    <w:pPr>
      <w:spacing w:before="0" w:after="100"/>
    </w:pPr>
    <w:rPr>
      <w:rFonts w:eastAsia="" w:cs="Times New Roman" w:eastAsiaTheme="minorEastAsia"/>
      <w:lang w:eastAsia="cs-CZ"/>
    </w:rPr>
  </w:style>
  <w:style w:type="paragraph" w:styleId="Contents3">
    <w:name w:val="TOC 3"/>
    <w:basedOn w:val="Normal"/>
    <w:next w:val="Normal"/>
    <w:autoRedefine/>
    <w:uiPriority w:val="39"/>
    <w:unhideWhenUsed/>
    <w:rsid w:val="000d2015"/>
    <w:pPr>
      <w:spacing w:before="0" w:after="100"/>
      <w:ind w:left="440" w:hanging="0"/>
    </w:pPr>
    <w:rPr>
      <w:rFonts w:eastAsia="" w:cs="Times New Roman" w:eastAsiaTheme="minorEastAsia"/>
      <w:lang w:eastAsia="cs-CZ"/>
    </w:rPr>
  </w:style>
  <w:style w:type="paragraph" w:styleId="Odstavecseseznamem3" w:customStyle="1">
    <w:name w:val="Odstavec se seznamem3"/>
    <w:basedOn w:val="Normal"/>
    <w:qFormat/>
    <w:rsid w:val="000d2015"/>
    <w:pPr>
      <w:spacing w:lineRule="auto" w:line="276" w:before="0" w:after="200"/>
      <w:ind w:left="720" w:hanging="0"/>
    </w:pPr>
    <w:rPr>
      <w:rFonts w:ascii="Calibri" w:hAnsi="Calibri" w:eastAsia="Times New Roman" w:cs="Calibri"/>
    </w:rPr>
  </w:style>
  <w:style w:type="paragraph" w:styleId="Styl1" w:customStyle="1">
    <w:name w:val="Styl1"/>
    <w:basedOn w:val="Normal"/>
    <w:link w:val="Styl1Char"/>
    <w:qFormat/>
    <w:rsid w:val="000d2015"/>
    <w:pPr>
      <w:jc w:val="both"/>
    </w:pPr>
    <w:rPr>
      <w:rFonts w:ascii="Times New Roman" w:hAnsi="Times New Roman" w:cs="Times New Roman"/>
      <w:sz w:val="28"/>
      <w:szCs w:val="28"/>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59"/>
    <w:rsid w:val="003e60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onasgaigr/N2K.CZ" TargetMode="External"/><Relationship Id="rId3" Type="http://schemas.openxmlformats.org/officeDocument/2006/relationships/hyperlink" Target="https://github.com/jonasgaigr/N2K.CZ/blob/main/n2k_hvezdice_auto.R" TargetMode="External"/><Relationship Id="rId4" Type="http://schemas.openxmlformats.org/officeDocument/2006/relationships/image" Target="media/image1.png"/><Relationship Id="rId5" Type="http://schemas.openxmlformats.org/officeDocument/2006/relationships/image" Target="media/image2.jpeg"/><Relationship Id="rId6" Type="http://schemas.openxmlformats.org/officeDocument/2006/relationships/hyperlink" Target="https://github.com/jonasgaigr/N2K.CZ/blob/main/n2k_hvezdice_auto.R" TargetMode="Externa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Application>LibreOffice/7.4.7.2$Linux_X86_64 LibreOffice_project/40$Build-2</Application>
  <AppVersion>15.0000</AppVersion>
  <Pages>37</Pages>
  <Words>10236</Words>
  <Characters>62277</Characters>
  <CharactersWithSpaces>71640</CharactersWithSpaces>
  <Paragraphs>1102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2024-12-04T12:53:00Z</dcterms:created>
  <dc:creator>Vojík Martin</dc:creator>
  <dc:description/>
  <dc:language>cs-CZ</dc:language>
  <cp:lastModifiedBy>Jakub Rataj</cp:lastModifiedBy>
  <dcterms:modified xsi:type="dcterms:W3CDTF">2026-01-20T14:48:27Z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ad2bfbbc40cfcc334aadd5184337f941716ef91af3cdcdd0d9ad194e9cb0ad69</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