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Proposal for standardizing the creation of Cryptonomen temporarium (commonly referred to as “temp. code”) within the Mycomap Network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Flowchart (typed version) for how to decide if temp code should be applied/how it should be named. Keep in mind that this is an attempt to illustrate the thought process behind applying temp codes and create a standard, but due to the different variables that occur in nature, it is impossible to account for every situation. Keep things like preferred substrate, habitat, seasonality, and phenology in mind. In addition, some groups will have more variable ITS than others, and there are some that cannot be differentiated via ITS.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Does it match a type specimen? </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Yes: Congratulations, you’re probably safe to call it that species.</w:t>
      </w:r>
    </w:p>
    <w:p w:rsidR="00000000" w:rsidDel="00000000" w:rsidP="00000000" w:rsidRDefault="00000000" w:rsidRPr="00000000" w14:paraId="00000007">
      <w:pPr>
        <w:numPr>
          <w:ilvl w:val="2"/>
          <w:numId w:val="1"/>
        </w:numPr>
        <w:ind w:left="2160" w:hanging="360"/>
        <w:rPr>
          <w:u w:val="none"/>
        </w:rPr>
      </w:pPr>
      <w:r w:rsidDel="00000000" w:rsidR="00000000" w:rsidRPr="00000000">
        <w:rPr>
          <w:rtl w:val="0"/>
        </w:rPr>
        <w:t xml:space="preserve">Caution: be wary of groups in which the same species was described under multiple names. Psathyrellaceae &amp; Crepidotus are notorious for this.</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No: go to 2</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Is there good consensus on what sequences represent the species?</w:t>
      </w:r>
      <w:r w:rsidDel="00000000" w:rsidR="00000000" w:rsidRPr="00000000">
        <w:rPr>
          <w:rtl w:val="0"/>
        </w:rPr>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Yes: Congratulations, you’re probably safe to call it that species. </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No: Go to 3</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Are there published papers supporting the idea that the species is represented by the ITS?</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Yes: Probably safe to call it that species. Keep competing papers in consideration</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No: Go to 4</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Are the sequences clustering geographically?</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Yes: Go to point 5</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No: Go to point 7</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Does your cluster of sequences match sequences from the type region?</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Yes: Go to point 6</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No: There are no sequences from the type region. Possibly safe to call it the species, but also applying a temp code is advised pending corroborating sequences (see: temp code guidelines)</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No: There are sequences from the type region, but they do not match my query sequence. Create new temp code (see: temp code guidelines)</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Is there only one possible species in this group from the type region?</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Yes: Probably safe to call it that species. </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No: A temp code is advisable. (see: temp code guidelines)</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Is there already a temp code being applied to this group?</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Yes: Use that code</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No: this sequence is novel. </w:t>
      </w:r>
      <w:r w:rsidDel="00000000" w:rsidR="00000000" w:rsidRPr="00000000">
        <w:rPr>
          <w:rtl w:val="0"/>
        </w:rPr>
        <w:t xml:space="preserve">Create</w:t>
      </w:r>
      <w:r w:rsidDel="00000000" w:rsidR="00000000" w:rsidRPr="00000000">
        <w:rPr>
          <w:rtl w:val="0"/>
        </w:rPr>
        <w:t xml:space="preserve"> new temp code. (see: temp code guidelines)</w:t>
      </w:r>
    </w:p>
    <w:p w:rsidR="00000000" w:rsidDel="00000000" w:rsidP="00000000" w:rsidRDefault="00000000" w:rsidRPr="00000000" w14:paraId="0000001C">
      <w:pPr>
        <w:numPr>
          <w:ilvl w:val="2"/>
          <w:numId w:val="1"/>
        </w:numPr>
        <w:ind w:left="2160" w:hanging="360"/>
      </w:pPr>
      <w:r w:rsidDel="00000000" w:rsidR="00000000" w:rsidRPr="00000000">
        <w:rPr>
          <w:rtl w:val="0"/>
        </w:rPr>
        <w:t xml:space="preserve">Please note: if the sequence is particularly noisy or suspicious, and is very novel (5+% different than any other matching sequence,) it may be advisable to forestall creating a new temp code until another matching sequence is produced. Try to be conservative to avoid creating erroneous temp codes.</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No: there is a species name being applied to this group. Go to point 8</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Is there a reasonable justification for this name being applied, e.g. someone has done microscopy work or other research to arrive at this species name?</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Yes: Probably safe to call it the species, but sometimes a temp can still be appropriate, especially when there are competing groups</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No: Create new temp code. (see: temp code guidelines)</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b w:val="1"/>
          <w:bCs w:val="1"/>
          <w:rtl w:val="0"/>
        </w:rPr>
        <w:t xml:space="preserve">Temp Code (Cryptonomen temporarium/crypt. temp.) guidelines</w:t>
        <w:br w:type="textWrapping"/>
        <w:br w:type="textWrapping"/>
      </w:r>
      <w:r w:rsidDel="00000000" w:rsidR="00000000" w:rsidRPr="00000000">
        <w:rPr>
          <w:rtl w:val="0"/>
        </w:rPr>
        <w:t xml:space="preserve">(Take all of the temp codes in this section as examples; some exist, some don’t at present but may be created in the future.)</w:t>
      </w:r>
    </w:p>
    <w:p w:rsidR="00000000" w:rsidDel="00000000" w:rsidP="00000000" w:rsidRDefault="00000000" w:rsidRPr="00000000" w14:paraId="00000023">
      <w:pPr>
        <w:ind w:left="0" w:firstLine="0"/>
        <w:rPr>
          <w:b w:val="1"/>
          <w:bCs w:val="1"/>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There are two types of temp codes we generally apply.</w:t>
      </w:r>
      <w:r w:rsidDel="00000000" w:rsidR="00000000" w:rsidRPr="00000000">
        <w:rPr>
          <w:rtl w:val="0"/>
        </w:rPr>
        <w:t xml:space="preserve"> The first is the most commonly used, and takes the general format of </w:t>
      </w:r>
    </w:p>
    <w:p w:rsidR="00000000" w:rsidDel="00000000" w:rsidP="00000000" w:rsidRDefault="00000000" w:rsidRPr="00000000" w14:paraId="00000025">
      <w:pPr>
        <w:ind w:left="0" w:firstLine="720"/>
        <w:rPr/>
      </w:pPr>
      <w:r w:rsidDel="00000000" w:rsidR="00000000" w:rsidRPr="00000000">
        <w:rPr>
          <w:rtl w:val="0"/>
        </w:rPr>
      </w:r>
    </w:p>
    <w:p w:rsidR="00000000" w:rsidDel="00000000" w:rsidP="00000000" w:rsidRDefault="00000000" w:rsidRPr="00000000" w14:paraId="00000026">
      <w:pPr>
        <w:ind w:left="0" w:firstLine="720"/>
        <w:rPr/>
      </w:pPr>
      <w:r w:rsidDel="00000000" w:rsidR="00000000" w:rsidRPr="00000000">
        <w:rPr>
          <w:rtl w:val="0"/>
        </w:rPr>
        <w:t xml:space="preserve">&lt;genus&gt; sp. ‘&lt;state abbreviation&gt;&lt;number&gt;’</w:t>
      </w:r>
    </w:p>
    <w:p w:rsidR="00000000" w:rsidDel="00000000" w:rsidP="00000000" w:rsidRDefault="00000000" w:rsidRPr="00000000" w14:paraId="00000027">
      <w:pPr>
        <w:ind w:left="0" w:firstLine="720"/>
        <w:rPr/>
      </w:pPr>
      <w:r w:rsidDel="00000000" w:rsidR="00000000" w:rsidRPr="00000000">
        <w:rPr>
          <w:rtl w:val="0"/>
        </w:rPr>
        <w:t xml:space="preserve"> e.g. Russula sp. ‘IN01’</w:t>
      </w:r>
    </w:p>
    <w:p w:rsidR="00000000" w:rsidDel="00000000" w:rsidP="00000000" w:rsidRDefault="00000000" w:rsidRPr="00000000" w14:paraId="00000028">
      <w:pPr>
        <w:ind w:left="0" w:firstLine="72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The second type of temp code is for cases where the group is known to be cryptic, e.g. the Hygrocybe conica species complex, or in cases where there is uncertainty over which group of sequences represents the species sensu stricto, e.g. Entoloma flavoviride.</w:t>
        <w:br w:type="textWrapping"/>
        <w:br w:type="textWrapping"/>
        <w:t xml:space="preserve">In these cases, use the following format</w:t>
        <w:br w:type="textWrapping"/>
        <w:tab/>
      </w:r>
    </w:p>
    <w:p w:rsidR="00000000" w:rsidDel="00000000" w:rsidP="00000000" w:rsidRDefault="00000000" w:rsidRPr="00000000" w14:paraId="0000002A">
      <w:pPr>
        <w:ind w:left="0" w:firstLine="0"/>
        <w:rPr/>
      </w:pPr>
      <w:r w:rsidDel="00000000" w:rsidR="00000000" w:rsidRPr="00000000">
        <w:rPr>
          <w:rtl w:val="0"/>
        </w:rPr>
        <w:tab/>
        <w:t xml:space="preserve">&lt;genus&gt; sp. ‘&lt;species group&gt;-&lt;state abbreviation&gt;&lt;number&gt;’</w:t>
      </w:r>
    </w:p>
    <w:p w:rsidR="00000000" w:rsidDel="00000000" w:rsidP="00000000" w:rsidRDefault="00000000" w:rsidRPr="00000000" w14:paraId="0000002B">
      <w:pPr>
        <w:ind w:left="0" w:firstLine="0"/>
        <w:rPr/>
      </w:pPr>
      <w:r w:rsidDel="00000000" w:rsidR="00000000" w:rsidRPr="00000000">
        <w:rPr>
          <w:rtl w:val="0"/>
        </w:rPr>
        <w:tab/>
        <w:t xml:space="preserve">e.g. Hygrocybe sp. ‘conica-NY01’</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For large countries that contain multiple ecoregions like the United States, Canada, Mexico, and Australia, try to apply state/territory level codes to help differentiate at a glance the approximate geographic region the temp code initially originated from. For smaller countries, or countries that don’t have significant ecoregion variance, it is okay to use the country code.</w:t>
        <w:br w:type="textWrapping"/>
        <w:br w:type="textWrapping"/>
        <w:t xml:space="preserve">For example, an Inocybe from Quebec, Canada might be coded as Inocybe sp. ‘QC01’, for Quebec, whereas an Inocybe from Jamaica would just use the country code, Inocybe sp. ‘JM01’. Use a preceding “0” before numbers 1 through 9 when making temp codes.</w:t>
        <w:br w:type="textWrapping"/>
        <w:br w:type="textWrapping"/>
        <w:t xml:space="preserve">The ISO standard country &amp; subdivision codes can be found at this link: </w:t>
      </w:r>
      <w:hyperlink r:id="rId7">
        <w:r w:rsidDel="00000000" w:rsidR="00000000" w:rsidRPr="00000000">
          <w:rPr>
            <w:color w:val="1155cc"/>
            <w:u w:val="single"/>
            <w:rtl w:val="0"/>
          </w:rPr>
          <w:t xml:space="preserve">https://www.iso.org/obp/ui/</w:t>
        </w:r>
      </w:hyperlink>
      <w:r w:rsidDel="00000000" w:rsidR="00000000" w:rsidRPr="00000000">
        <w:rPr>
          <w:rtl w:val="0"/>
        </w:rPr>
        <w:t xml:space="preserve"> (click on Country Codes)</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In cases where there is already a temp code being applied, but it does not adhere to the above guidelines, it is important to keep stability in mind. Ultimately, these temp codes are not meant to be permanent names for these species. Instead, their intent is to cluster distinct groups of sequences in a way that minimizes confusion while they await further study and formal publication. </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To this end, temp code stability is the most important thing. Some examples of atypical temps you may see are</w:t>
      </w:r>
      <w:r w:rsidDel="00000000" w:rsidR="00000000" w:rsidRPr="00000000">
        <w:rPr>
          <w:rtl w:val="0"/>
        </w:rPr>
        <w:t xml:space="preserve"> </w:t>
      </w:r>
      <w:r w:rsidDel="00000000" w:rsidR="00000000" w:rsidRPr="00000000">
        <w:rPr>
          <w:rtl w:val="0"/>
        </w:rPr>
        <w:t xml:space="preserve">Amanita sp-21, </w:t>
      </w:r>
      <w:r w:rsidDel="00000000" w:rsidR="00000000" w:rsidRPr="00000000">
        <w:rPr>
          <w:rtl w:val="0"/>
        </w:rPr>
        <w:t xml:space="preserve">Russula 'crenulata Woo 24', and Bolbitius 'titubans PNW02'. Many of these are older temp codes, and to avoid confusion, it is better to leave them as they are than it is to change the temp to the updated format. </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Older temp codes that are formatted with double quotes, e.g. Inocybe “sp-IN01”, can be updated to the newer format, e.g. Inocybe sp. ‘IN01’; this is not necessary and only update this if you have the time to update it on all public websites that we utilize (iNaturalist, Mycomap, and Mushroom Observer.)</w:t>
        <w:br w:type="textWrapping"/>
        <w:br w:type="textWrapping"/>
        <w:t xml:space="preserve">Also, when creating temp codes, it is important to double check that that number isn’t already being used in the older format. If Inocybe “sp-IN100” already exists, do not create Inocybe sp. ‘IN100’ for a new novel sequence.</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Nomen provisorium, I.E. nom. prov., names are species that are in the process of being formally published and take precedence over Cryptonomen temporarium names.</w:t>
      </w: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b w:val="1"/>
          <w:bCs w:val="1"/>
          <w:rtl w:val="0"/>
        </w:rPr>
        <w:t xml:space="preserve">How novel must a sequence be to have a new temp applied?</w:t>
        <w:br w:type="textWrapping"/>
        <w:br w:type="textWrapping"/>
      </w:r>
      <w:r w:rsidDel="00000000" w:rsidR="00000000" w:rsidRPr="00000000">
        <w:rPr>
          <w:rtl w:val="0"/>
        </w:rPr>
        <w:t xml:space="preserve">This is complicated and relies a lot on judgement calls; something to keep in mind is that this is just a first pass on sorting sequences into groups, and there is a strong possibility that several temp codes could be collapsed when a species is, ultimately, described. If too many new codes are created, it is easy to combine them in the future, so don’t be tempted to spend too much time worrying where the exact limits between species are.</w:t>
      </w:r>
      <w:commentRangeStart w:id="0"/>
      <w:commentRangeStart w:id="1"/>
      <w:commentRangeStart w:id="2"/>
      <w:r w:rsidDel="00000000" w:rsidR="00000000" w:rsidRPr="00000000">
        <w:rPr>
          <w:rtl w:val="0"/>
        </w:rPr>
        <w:t xml:space="preserve"> Some groups are going to exhibit more variation than others,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an Rockefeller" w:id="0" w:date="2025-09-21T16:12:04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real differences is a reasonable cutoff but other factors should be looked at too</w:t>
      </w:r>
    </w:p>
  </w:comment>
  <w:comment w:author="Jessica Williams" w:id="1" w:date="2025-09-21T23:46:31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Jessica Williams" w:id="2" w:date="2025-09-21T23:47:02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I need to think of a good way to word 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iso.org/obp/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