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C459E" w14:textId="77777777" w:rsidR="000E3567" w:rsidRDefault="000F5102">
      <w:pPr>
        <w:rPr>
          <w:b/>
        </w:rPr>
      </w:pPr>
      <w:proofErr w:type="gramStart"/>
      <w:r>
        <w:t>Name:_</w:t>
      </w:r>
      <w:proofErr w:type="gramEnd"/>
      <w:r>
        <w:t>_________________</w:t>
      </w:r>
      <w:r>
        <w:rPr>
          <w:b/>
        </w:rPr>
        <w:br/>
      </w:r>
    </w:p>
    <w:p w14:paraId="5F57A739" w14:textId="77777777" w:rsidR="000E3567" w:rsidRDefault="000F5102">
      <w:pPr>
        <w:jc w:val="center"/>
        <w:rPr>
          <w:b/>
        </w:rPr>
      </w:pPr>
      <w:r>
        <w:rPr>
          <w:b/>
        </w:rPr>
        <w:t>Calculating a t-test by hand</w:t>
      </w:r>
    </w:p>
    <w:p w14:paraId="40B713F8" w14:textId="77777777" w:rsidR="000E3567" w:rsidRDefault="000E3567"/>
    <w:p w14:paraId="4A85D7E7" w14:textId="77777777" w:rsidR="000E3567" w:rsidRDefault="000F5102">
      <w:r>
        <w:t xml:space="preserve">This document includes information that is important for you to know about t-tests, the process of calculating a t-test statistic, and a problem that you will calculate by hand. The goals of this are to have you practice thinking about the components that </w:t>
      </w:r>
      <w:r>
        <w:t xml:space="preserve">go into calculating a t-test to help you better understand what they are and how they work, and to practice interpreting the results of a t-test. Note that there </w:t>
      </w:r>
      <w:hyperlink r:id="rId5" w:anchor="Unpaired_and_paired_two-sample_t-tests">
        <w:r>
          <w:rPr>
            <w:color w:val="1155CC"/>
            <w:u w:val="single"/>
          </w:rPr>
          <w:t xml:space="preserve">are many different types of t-test </w:t>
        </w:r>
      </w:hyperlink>
      <w:r>
        <w:t xml:space="preserve">and in this case you are calculating a form of 2-sample t-statistic. </w:t>
      </w:r>
    </w:p>
    <w:p w14:paraId="0BB88559" w14:textId="77777777" w:rsidR="000E3567" w:rsidRDefault="000E3567"/>
    <w:p w14:paraId="40E0654C" w14:textId="77777777" w:rsidR="000E3567" w:rsidRDefault="000F5102">
      <w:pPr>
        <w:rPr>
          <w:b/>
          <w:i/>
        </w:rPr>
      </w:pPr>
      <w:r>
        <w:rPr>
          <w:b/>
          <w:i/>
        </w:rPr>
        <w:t xml:space="preserve">SUBMIT THIS COMPLETED DOCUMENT BY MOODLE TUES </w:t>
      </w:r>
      <w:r>
        <w:rPr>
          <w:b/>
          <w:i/>
          <w:strike/>
        </w:rPr>
        <w:t>MON</w:t>
      </w:r>
      <w:r>
        <w:rPr>
          <w:b/>
          <w:i/>
        </w:rPr>
        <w:t xml:space="preserve"> OCT. 25 BEFORE MIDNIGHT</w:t>
      </w:r>
    </w:p>
    <w:p w14:paraId="7B9AF6C3" w14:textId="77777777" w:rsidR="000E3567" w:rsidRDefault="000E3567"/>
    <w:p w14:paraId="02F99519" w14:textId="77777777" w:rsidR="000E3567" w:rsidRDefault="000F5102">
      <w:r>
        <w:t>Conceptually, a t-test compares the size of the differenc</w:t>
      </w:r>
      <w:r>
        <w:t xml:space="preserve">e between two means with the standard error of that difference. The numerator is the difference between the means, and the denominator is the difference in “standard error”. “Standard error” is a measure of variance in descriptive statistics that combines </w:t>
      </w:r>
      <w:r>
        <w:t>the standard deviations (</w:t>
      </w:r>
      <w:r>
        <w:rPr>
          <w:i/>
        </w:rPr>
        <w:t>s</w:t>
      </w:r>
      <w:r>
        <w:t xml:space="preserve">) of the groups with the sample sizes of each group. (Note the </w:t>
      </w:r>
    </w:p>
    <w:p w14:paraId="3BD9961B" w14:textId="77777777" w:rsidR="000E3567" w:rsidRDefault="000E3567"/>
    <w:p w14:paraId="2560623A" w14:textId="77777777" w:rsidR="000E3567" w:rsidRDefault="000F5102">
      <w:pPr>
        <w:rPr>
          <w:b/>
          <w:sz w:val="24"/>
          <w:szCs w:val="24"/>
        </w:rPr>
      </w:pPr>
      <w:r>
        <w:t xml:space="preserve">t = </w:t>
      </w:r>
      <w:r>
        <w:tab/>
        <w:t xml:space="preserve"> </w:t>
      </w:r>
      <m:oMath>
        <m:f>
          <m:fPr>
            <m:ctrlPr>
              <w:rPr>
                <w:rFonts w:ascii="Cambria Math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single"/>
              </w:rPr>
              <m:t>difference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single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single"/>
              </w:rPr>
              <m:t>between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single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single"/>
              </w:rPr>
              <m:t>means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u w:val="single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differences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standard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error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between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groups</m:t>
            </m:r>
          </m:den>
        </m:f>
      </m:oMath>
      <w:bookmarkStart w:id="0" w:name="_GoBack"/>
      <w:bookmarkEnd w:id="0"/>
    </w:p>
    <w:p w14:paraId="7DA5226F" w14:textId="77777777" w:rsidR="000E3567" w:rsidRDefault="000E3567"/>
    <w:p w14:paraId="4326F496" w14:textId="77777777" w:rsidR="000E3567" w:rsidRDefault="000F5102">
      <w:r>
        <w:t xml:space="preserve">So, t  = </w:t>
      </w:r>
      <m:oMath>
        <m:f>
          <m:fPr>
            <m:ctrlPr>
              <w:rPr>
                <w:rFonts w:ascii="Cambria Math" w:hAnsi="Cambria Math"/>
                <w:u w:val="single"/>
              </w:rPr>
            </m:ctrlPr>
          </m:fPr>
          <m:num>
            <m:r>
              <w:rPr>
                <w:rFonts w:ascii="Cambria Math" w:hAnsi="Cambria Math"/>
                <w:u w:val="single"/>
              </w:rPr>
              <m:t>Sample</m:t>
            </m:r>
            <m:r>
              <w:rPr>
                <w:rFonts w:ascii="Cambria Math" w:hAnsi="Cambria Math"/>
                <w:u w:val="single"/>
              </w:rPr>
              <m:t xml:space="preserve"> </m:t>
            </m:r>
            <m:r>
              <w:rPr>
                <w:rFonts w:ascii="Cambria Math" w:hAnsi="Cambria Math"/>
                <w:u w:val="single"/>
              </w:rPr>
              <m:t>me</m:t>
            </m:r>
            <m:r>
              <w:rPr>
                <w:rFonts w:ascii="Cambria Math" w:hAnsi="Cambria Math"/>
                <w:u w:val="single"/>
              </w:rPr>
              <m:t>a</m:t>
            </m:r>
            <m:r>
              <w:rPr>
                <w:rFonts w:ascii="Cambria Math" w:hAnsi="Cambria Math"/>
                <w:u w:val="single"/>
              </w:rPr>
              <m:t>n</m:t>
            </m:r>
            <m:r>
              <w:rPr>
                <w:rFonts w:ascii="Cambria Math" w:hAnsi="Cambria Math"/>
                <w:u w:val="single"/>
              </w:rPr>
              <m:t xml:space="preserve"> </m:t>
            </m:r>
            <m:r>
              <w:rPr>
                <w:rFonts w:ascii="Cambria Math" w:hAnsi="Cambria Math"/>
                <w:u w:val="single"/>
              </w:rPr>
              <m:t>of</m:t>
            </m:r>
            <m:r>
              <w:rPr>
                <w:rFonts w:ascii="Cambria Math" w:hAnsi="Cambria Math"/>
                <w:u w:val="single"/>
              </w:rPr>
              <m:t xml:space="preserve"> </m:t>
            </m:r>
            <m:r>
              <w:rPr>
                <w:rFonts w:ascii="Cambria Math" w:hAnsi="Cambria Math"/>
                <w:u w:val="single"/>
              </w:rPr>
              <m:t>pop</m:t>
            </m:r>
            <m:r>
              <w:rPr>
                <w:rFonts w:ascii="Cambria Math" w:hAnsi="Cambria Math"/>
                <w:u w:val="single"/>
              </w:rPr>
              <m:t xml:space="preserve"> 1 - </m:t>
            </m:r>
            <m:r>
              <w:rPr>
                <w:rFonts w:ascii="Cambria Math" w:hAnsi="Cambria Math"/>
                <w:u w:val="single"/>
              </w:rPr>
              <m:t>Sample</m:t>
            </m:r>
            <m:r>
              <w:rPr>
                <w:rFonts w:ascii="Cambria Math" w:hAnsi="Cambria Math"/>
                <w:u w:val="single"/>
              </w:rPr>
              <m:t xml:space="preserve"> </m:t>
            </m:r>
            <m:r>
              <w:rPr>
                <w:rFonts w:ascii="Cambria Math" w:hAnsi="Cambria Math"/>
                <w:u w:val="single"/>
              </w:rPr>
              <m:t>mean</m:t>
            </m:r>
            <m:r>
              <w:rPr>
                <w:rFonts w:ascii="Cambria Math" w:hAnsi="Cambria Math"/>
                <w:u w:val="single"/>
              </w:rPr>
              <m:t xml:space="preserve"> </m:t>
            </m:r>
            <m:r>
              <w:rPr>
                <w:rFonts w:ascii="Cambria Math" w:hAnsi="Cambria Math"/>
                <w:u w:val="single"/>
              </w:rPr>
              <m:t>of</m:t>
            </m:r>
            <m:r>
              <w:rPr>
                <w:rFonts w:ascii="Cambria Math" w:hAnsi="Cambria Math"/>
                <w:u w:val="single"/>
              </w:rPr>
              <m:t xml:space="preserve"> </m:t>
            </m:r>
            <m:r>
              <w:rPr>
                <w:rFonts w:ascii="Cambria Math" w:hAnsi="Cambria Math"/>
                <w:u w:val="single"/>
              </w:rPr>
              <m:t>pop</m:t>
            </m:r>
            <m:r>
              <w:rPr>
                <w:rFonts w:ascii="Cambria Math" w:hAnsi="Cambria Math"/>
                <w:u w:val="single"/>
              </w:rPr>
              <m:t xml:space="preserve"> 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Square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root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of</m:t>
                </m:r>
                <m:r>
                  <w:rPr>
                    <w:rFonts w:ascii="Cambria Math" w:hAnsi="Cambria Math"/>
                  </w:rPr>
                  <m:t xml:space="preserve"> (</m:t>
                </m:r>
                <m:r>
                  <w:rPr>
                    <w:rFonts w:ascii="Cambria Math" w:hAnsi="Cambria Math"/>
                    <w:vertAlign w:val="superscript"/>
                  </w:rPr>
                  <m:t>Sample</m:t>
                </m:r>
                <m:r>
                  <w:rPr>
                    <w:rFonts w:ascii="Cambria Math" w:hAnsi="Cambria Math"/>
                    <w:vertAlign w:val="superscript"/>
                  </w:rPr>
                  <m:t xml:space="preserve"> </m:t>
                </m:r>
                <m:r>
                  <w:rPr>
                    <w:rFonts w:ascii="Cambria Math" w:hAnsi="Cambria Math"/>
                    <w:vertAlign w:val="superscript"/>
                  </w:rPr>
                  <m:t>std</m:t>
                </m:r>
                <m:r>
                  <w:rPr>
                    <w:rFonts w:ascii="Cambria Math" w:hAnsi="Cambria Math"/>
                    <w:vertAlign w:val="superscript"/>
                  </w:rPr>
                  <m:t xml:space="preserve"> </m:t>
                </m:r>
                <m:r>
                  <w:rPr>
                    <w:rFonts w:ascii="Cambria Math" w:hAnsi="Cambria Math"/>
                    <w:vertAlign w:val="superscript"/>
                  </w:rPr>
                  <m:t>dev</m:t>
                </m:r>
                <m:r>
                  <w:rPr>
                    <w:rFonts w:ascii="Cambria Math" w:hAnsi="Cambria Math"/>
                    <w:vertAlign w:val="superscript"/>
                  </w:rPr>
                  <m:t xml:space="preserve"> </m:t>
                </m:r>
                <m:r>
                  <w:rPr>
                    <w:rFonts w:ascii="Cambria Math" w:hAnsi="Cambria Math"/>
                    <w:vertAlign w:val="superscript"/>
                  </w:rPr>
                  <m:t>pop</m:t>
                </m:r>
                <m:r>
                  <w:rPr>
                    <w:rFonts w:ascii="Cambria Math" w:hAnsi="Cambria Math"/>
                    <w:vertAlign w:val="superscript"/>
                  </w:rPr>
                  <m:t xml:space="preserve"> 1 </m:t>
                </m:r>
                <m:r>
                  <w:rPr>
                    <w:rFonts w:ascii="Cambria Math" w:hAnsi="Cambria Math"/>
                    <w:vertAlign w:val="superscript"/>
                  </w:rPr>
                  <m:t>squared</m:t>
                </m:r>
                <m:r>
                  <w:rPr>
                    <w:rFonts w:ascii="Cambria Math" w:hAnsi="Cambria Math"/>
                    <w:vertAlign w:val="superscript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/ 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pop</m:t>
                </m:r>
                <m:r>
                  <w:rPr>
                    <w:rFonts w:ascii="Cambria Math" w:hAnsi="Cambria Math"/>
                  </w:rPr>
                  <m:t xml:space="preserve"> 1) + (</m:t>
                </m:r>
                <m:r>
                  <w:rPr>
                    <w:rFonts w:ascii="Cambria Math" w:hAnsi="Cambria Math"/>
                  </w:rPr>
                  <m:t>Sample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std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dev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pop</m:t>
                </m:r>
                <m:r>
                  <w:rPr>
                    <w:rFonts w:ascii="Cambria Math" w:hAnsi="Cambria Math"/>
                  </w:rPr>
                  <m:t xml:space="preserve"> 2 </m:t>
                </m:r>
                <m:r>
                  <w:rPr>
                    <w:rFonts w:ascii="Cambria Math" w:hAnsi="Cambria Math"/>
                  </w:rPr>
                  <m:t>squared</m:t>
                </m:r>
                <m: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pop</m:t>
                </m:r>
                <m:r>
                  <w:rPr>
                    <w:rFonts w:ascii="Cambria Math" w:hAnsi="Cambria Math"/>
                  </w:rPr>
                  <m:t xml:space="preserve"> 2)</m:t>
                </m:r>
              </m:e>
              <m:sup/>
            </m:sSup>
          </m:den>
        </m:f>
      </m:oMath>
    </w:p>
    <w:p w14:paraId="4881E680" w14:textId="77777777" w:rsidR="000E3567" w:rsidRDefault="000E3567"/>
    <w:p w14:paraId="3A748555" w14:textId="77777777" w:rsidR="000E3567" w:rsidRDefault="000F5102">
      <w:pPr>
        <w:rPr>
          <w:i/>
        </w:rPr>
      </w:pPr>
      <w:r>
        <w:rPr>
          <w:i/>
        </w:rPr>
        <w:t>* Note that “pop 1” and</w:t>
      </w:r>
      <w:r>
        <w:rPr>
          <w:i/>
        </w:rPr>
        <w:t xml:space="preserve"> “pop 2” will be two groups or categories in a categorical variable in a spreadsheet (data frame). </w:t>
      </w:r>
    </w:p>
    <w:p w14:paraId="232BD6A3" w14:textId="77777777" w:rsidR="000E3567" w:rsidRDefault="000F5102">
      <w:pPr>
        <w:rPr>
          <w:i/>
          <w:highlight w:val="green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3D62655" wp14:editId="19893E5B">
            <wp:simplePos x="0" y="0"/>
            <wp:positionH relativeFrom="column">
              <wp:posOffset>4429125</wp:posOffset>
            </wp:positionH>
            <wp:positionV relativeFrom="paragraph">
              <wp:posOffset>135350</wp:posOffset>
            </wp:positionV>
            <wp:extent cx="1990725" cy="94297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D5ED00" w14:textId="77777777" w:rsidR="000E3567" w:rsidRDefault="000F5102">
      <w:r>
        <w:t xml:space="preserve">To calculate a t-statistic </w:t>
      </w:r>
      <m:oMath>
        <m:r>
          <w:rPr>
            <w:rFonts w:ascii="Cambria Math" w:hAnsi="Cambria Math"/>
          </w:rPr>
          <m:t>t</m:t>
        </m:r>
      </m:oMath>
      <w:r>
        <w:t>:</w:t>
      </w:r>
    </w:p>
    <w:p w14:paraId="20F20546" w14:textId="77777777" w:rsidR="000E3567" w:rsidRDefault="000F5102">
      <w:pPr>
        <w:numPr>
          <w:ilvl w:val="0"/>
          <w:numId w:val="1"/>
        </w:numPr>
      </w:pPr>
      <w:r>
        <w:t>Calculate the mean of both groups (x̅</w:t>
      </w:r>
      <w:r>
        <w:rPr>
          <w:vertAlign w:val="subscript"/>
        </w:rPr>
        <w:t>1</w:t>
      </w:r>
      <w:r>
        <w:t>, x̅</w:t>
      </w:r>
      <w:r>
        <w:rPr>
          <w:vertAlign w:val="subscript"/>
        </w:rPr>
        <w:t>2</w:t>
      </w:r>
      <w:r>
        <w:t>)</w:t>
      </w:r>
    </w:p>
    <w:p w14:paraId="7FC113F6" w14:textId="77777777" w:rsidR="000E3567" w:rsidRDefault="000F5102">
      <w:pPr>
        <w:numPr>
          <w:ilvl w:val="0"/>
          <w:numId w:val="1"/>
        </w:numPr>
      </w:pPr>
      <w:r>
        <w:t>Calculate the standard deviation for each group (s</w:t>
      </w:r>
      <w:proofErr w:type="gramStart"/>
      <w:r>
        <w:rPr>
          <w:vertAlign w:val="subscript"/>
        </w:rPr>
        <w:t>1</w:t>
      </w:r>
      <w:r>
        <w:rPr>
          <w:vertAlign w:val="superscript"/>
        </w:rPr>
        <w:t xml:space="preserve">  </w:t>
      </w:r>
      <w:r>
        <w:t>,</w:t>
      </w:r>
      <w:proofErr w:type="gramEnd"/>
      <w:r>
        <w:t xml:space="preserve"> s</w:t>
      </w:r>
      <w:r>
        <w:rPr>
          <w:vertAlign w:val="subscript"/>
        </w:rPr>
        <w:t>2</w:t>
      </w:r>
      <w:r>
        <w:t>)</w:t>
      </w:r>
    </w:p>
    <w:p w14:paraId="2D27B3C9" w14:textId="77777777" w:rsidR="000E3567" w:rsidRDefault="000F5102">
      <w:pPr>
        <w:numPr>
          <w:ilvl w:val="0"/>
          <w:numId w:val="1"/>
        </w:numPr>
      </w:pPr>
      <w:r>
        <w:t>Find the population size for each group (n</w:t>
      </w:r>
      <w:proofErr w:type="gramStart"/>
      <w:r>
        <w:rPr>
          <w:vertAlign w:val="subscript"/>
        </w:rPr>
        <w:t xml:space="preserve">1 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n</w:t>
      </w:r>
      <w:r>
        <w:rPr>
          <w:vertAlign w:val="subscript"/>
        </w:rPr>
        <w:t>2</w:t>
      </w:r>
      <w:r>
        <w:t>)</w:t>
      </w:r>
    </w:p>
    <w:p w14:paraId="672903C1" w14:textId="77777777" w:rsidR="000E3567" w:rsidRDefault="000F5102">
      <w:pPr>
        <w:numPr>
          <w:ilvl w:val="0"/>
          <w:numId w:val="1"/>
        </w:numPr>
      </w:pPr>
      <w:r>
        <w:t xml:space="preserve">Add these values to the equation and calculate the t-statistic. </w:t>
      </w:r>
    </w:p>
    <w:p w14:paraId="2B81E5DF" w14:textId="77777777" w:rsidR="000E3567" w:rsidRDefault="000E3567">
      <w:pPr>
        <w:ind w:left="720"/>
      </w:pPr>
    </w:p>
    <w:p w14:paraId="315C5EED" w14:textId="77777777" w:rsidR="000E3567" w:rsidRDefault="000F5102">
      <w:r>
        <w:t>To translate that t-statistic to a p-value</w:t>
      </w:r>
    </w:p>
    <w:p w14:paraId="3FB26571" w14:textId="77777777" w:rsidR="000E3567" w:rsidRDefault="000F5102">
      <w:pPr>
        <w:numPr>
          <w:ilvl w:val="0"/>
          <w:numId w:val="2"/>
        </w:numPr>
      </w:pPr>
      <w:r>
        <w:t>How many degrees of freedom in a two-sample t-test (</w:t>
      </w:r>
      <w:proofErr w:type="spellStart"/>
      <w:r>
        <w:t>df</w:t>
      </w:r>
      <w:proofErr w:type="spellEnd"/>
      <w:r>
        <w:t>)?</w:t>
      </w:r>
    </w:p>
    <w:p w14:paraId="39EA747F" w14:textId="77777777" w:rsidR="000E3567" w:rsidRDefault="000F5102">
      <w:pPr>
        <w:numPr>
          <w:ilvl w:val="1"/>
          <w:numId w:val="2"/>
        </w:numPr>
      </w:pPr>
      <w:proofErr w:type="spellStart"/>
      <w:r>
        <w:t>Df</w:t>
      </w:r>
      <w:proofErr w:type="spellEnd"/>
      <w:r>
        <w:t xml:space="preserve"> = (n</w:t>
      </w:r>
      <w:proofErr w:type="gramStart"/>
      <w:r>
        <w:rPr>
          <w:vertAlign w:val="subscript"/>
        </w:rPr>
        <w:t xml:space="preserve">1 </w:t>
      </w:r>
      <w:r>
        <w:rPr>
          <w:vertAlign w:val="superscript"/>
        </w:rPr>
        <w:t xml:space="preserve"> </w:t>
      </w:r>
      <w:r>
        <w:t>+</w:t>
      </w:r>
      <w:proofErr w:type="gramEnd"/>
      <w:r>
        <w:t xml:space="preserve"> n</w:t>
      </w:r>
      <w:r>
        <w:rPr>
          <w:vertAlign w:val="subscript"/>
        </w:rPr>
        <w:t xml:space="preserve">2 </w:t>
      </w:r>
      <w:r>
        <w:t>) - 2</w:t>
      </w:r>
    </w:p>
    <w:p w14:paraId="7283FACF" w14:textId="77777777" w:rsidR="000E3567" w:rsidRDefault="000F5102">
      <w:pPr>
        <w:numPr>
          <w:ilvl w:val="0"/>
          <w:numId w:val="2"/>
        </w:numPr>
      </w:pPr>
      <w:r>
        <w:t>Use the</w:t>
      </w:r>
      <w:hyperlink r:id="rId7">
        <w:r>
          <w:rPr>
            <w:color w:val="1155CC"/>
            <w:u w:val="single"/>
          </w:rPr>
          <w:t xml:space="preserve"> t-statistic table </w:t>
        </w:r>
      </w:hyperlink>
      <w:r>
        <w:t>on the last page to find the p-value that is associated with your t-statistic and degrees of freedom. Use the 2-tailed option with a signifi</w:t>
      </w:r>
      <w:r>
        <w:t>cance level of 0.05.</w:t>
      </w:r>
    </w:p>
    <w:p w14:paraId="4C39CCC3" w14:textId="77777777" w:rsidR="000E3567" w:rsidRDefault="000F5102">
      <w:pPr>
        <w:ind w:left="72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129FABB" wp14:editId="0284B154">
            <wp:simplePos x="0" y="0"/>
            <wp:positionH relativeFrom="column">
              <wp:posOffset>2324100</wp:posOffset>
            </wp:positionH>
            <wp:positionV relativeFrom="paragraph">
              <wp:posOffset>118063</wp:posOffset>
            </wp:positionV>
            <wp:extent cx="1298016" cy="1298016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8016" cy="129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712E87" w14:textId="77777777" w:rsidR="000E3567" w:rsidRDefault="000E3567">
      <w:pPr>
        <w:ind w:left="720"/>
      </w:pPr>
    </w:p>
    <w:p w14:paraId="7112DB24" w14:textId="77777777" w:rsidR="000E3567" w:rsidRDefault="000E3567"/>
    <w:p w14:paraId="7B6DD5B5" w14:textId="77777777" w:rsidR="000E3567" w:rsidRDefault="000E3567"/>
    <w:p w14:paraId="3FAC74AB" w14:textId="77777777" w:rsidR="000E3567" w:rsidRDefault="000F5102">
      <w:r>
        <w:lastRenderedPageBreak/>
        <w:t xml:space="preserve">We are going to use a randomly-drawn subset from the </w:t>
      </w:r>
      <w:proofErr w:type="gramStart"/>
      <w:r>
        <w:t>penguins</w:t>
      </w:r>
      <w:proofErr w:type="gramEnd"/>
      <w:r>
        <w:t xml:space="preserve"> data set to compare the body mass of </w:t>
      </w:r>
      <w:proofErr w:type="spellStart"/>
      <w:r>
        <w:t>Adelie</w:t>
      </w:r>
      <w:proofErr w:type="spellEnd"/>
      <w:r>
        <w:t xml:space="preserve"> and Gentoo penguins. </w:t>
      </w:r>
    </w:p>
    <w:p w14:paraId="56049DF6" w14:textId="77777777" w:rsidR="000E3567" w:rsidRDefault="000E3567"/>
    <w:tbl>
      <w:tblPr>
        <w:tblStyle w:val="a"/>
        <w:tblW w:w="6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00"/>
        <w:gridCol w:w="2100"/>
        <w:gridCol w:w="1485"/>
      </w:tblGrid>
      <w:tr w:rsidR="000E3567" w14:paraId="36D6D9BF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B80B" w14:textId="77777777" w:rsidR="000E3567" w:rsidRDefault="000F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species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3105" w14:textId="77777777" w:rsidR="000E3567" w:rsidRDefault="000F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island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8167" w14:textId="77777777" w:rsidR="000E3567" w:rsidRDefault="000F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body_masss_g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3E88" w14:textId="77777777" w:rsidR="000E3567" w:rsidRDefault="000F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sex</w:t>
            </w:r>
          </w:p>
        </w:tc>
      </w:tr>
      <w:tr w:rsidR="000E3567" w14:paraId="14571968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6C556B" w14:textId="77777777" w:rsidR="000E3567" w:rsidRDefault="000F5102">
            <w:pPr>
              <w:widowControl w:val="0"/>
              <w:spacing w:line="240" w:lineRule="auto"/>
              <w:jc w:val="center"/>
            </w:pPr>
            <w:proofErr w:type="spellStart"/>
            <w:r>
              <w:t>Adelie</w:t>
            </w:r>
            <w:proofErr w:type="spellEnd"/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15CC54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4C8010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3950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D9E5F0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male</w:t>
            </w:r>
          </w:p>
        </w:tc>
      </w:tr>
      <w:tr w:rsidR="000E3567" w14:paraId="5EF72F72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766FF0" w14:textId="77777777" w:rsidR="000E3567" w:rsidRDefault="000F5102">
            <w:pPr>
              <w:widowControl w:val="0"/>
              <w:spacing w:line="240" w:lineRule="auto"/>
              <w:jc w:val="center"/>
            </w:pPr>
            <w:proofErr w:type="spellStart"/>
            <w:r>
              <w:t>Adelie</w:t>
            </w:r>
            <w:proofErr w:type="spellEnd"/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B13D21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Dream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82E70B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3425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E6527C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male</w:t>
            </w:r>
          </w:p>
        </w:tc>
      </w:tr>
      <w:tr w:rsidR="000E3567" w14:paraId="00F764F3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E3FE6E" w14:textId="77777777" w:rsidR="000E3567" w:rsidRDefault="000F5102">
            <w:pPr>
              <w:widowControl w:val="0"/>
              <w:spacing w:line="240" w:lineRule="auto"/>
              <w:jc w:val="center"/>
            </w:pPr>
            <w:proofErr w:type="spellStart"/>
            <w:r>
              <w:t>Adelie</w:t>
            </w:r>
            <w:proofErr w:type="spellEnd"/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A4AFE2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Torgersen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FC367C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3350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C31488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female</w:t>
            </w:r>
          </w:p>
        </w:tc>
      </w:tr>
      <w:tr w:rsidR="000E3567" w14:paraId="5AC53852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E872F4" w14:textId="77777777" w:rsidR="000E3567" w:rsidRDefault="000F5102">
            <w:pPr>
              <w:widowControl w:val="0"/>
              <w:spacing w:line="240" w:lineRule="auto"/>
              <w:jc w:val="center"/>
            </w:pPr>
            <w:proofErr w:type="spellStart"/>
            <w:r>
              <w:t>Adelie</w:t>
            </w:r>
            <w:proofErr w:type="spellEnd"/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8EC8B8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B7042A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4300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277BCC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male</w:t>
            </w:r>
          </w:p>
        </w:tc>
      </w:tr>
      <w:tr w:rsidR="000E3567" w14:paraId="0660CF4C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0E7B41" w14:textId="77777777" w:rsidR="000E3567" w:rsidRDefault="000F5102">
            <w:pPr>
              <w:widowControl w:val="0"/>
              <w:spacing w:line="240" w:lineRule="auto"/>
              <w:jc w:val="center"/>
            </w:pPr>
            <w:proofErr w:type="spellStart"/>
            <w:r>
              <w:t>Adelie</w:t>
            </w:r>
            <w:proofErr w:type="spellEnd"/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9B41CE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3869D5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3600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40DCBB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female</w:t>
            </w:r>
          </w:p>
        </w:tc>
      </w:tr>
      <w:tr w:rsidR="000E3567" w14:paraId="6BFB2BDB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FD5686" w14:textId="77777777" w:rsidR="000E3567" w:rsidRDefault="000F5102">
            <w:pPr>
              <w:widowControl w:val="0"/>
              <w:spacing w:line="240" w:lineRule="auto"/>
              <w:jc w:val="center"/>
            </w:pPr>
            <w:proofErr w:type="spellStart"/>
            <w:r>
              <w:t>Adelie</w:t>
            </w:r>
            <w:proofErr w:type="spellEnd"/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ED2A31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789FFF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3825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9EDFC3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female</w:t>
            </w:r>
          </w:p>
        </w:tc>
      </w:tr>
      <w:tr w:rsidR="000E3567" w14:paraId="5FD4CBE0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CE5F9B" w14:textId="77777777" w:rsidR="000E3567" w:rsidRDefault="000F5102">
            <w:pPr>
              <w:widowControl w:val="0"/>
              <w:spacing w:line="240" w:lineRule="auto"/>
              <w:jc w:val="center"/>
            </w:pPr>
            <w:proofErr w:type="spellStart"/>
            <w:r>
              <w:t>Adelie</w:t>
            </w:r>
            <w:proofErr w:type="spellEnd"/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367848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B113C2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3950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4FDCC2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male</w:t>
            </w:r>
          </w:p>
        </w:tc>
      </w:tr>
      <w:tr w:rsidR="000E3567" w14:paraId="0BBB8DCA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9E4292" w14:textId="77777777" w:rsidR="000E3567" w:rsidRDefault="000F5102">
            <w:pPr>
              <w:widowControl w:val="0"/>
              <w:spacing w:line="240" w:lineRule="auto"/>
              <w:jc w:val="center"/>
            </w:pPr>
            <w:proofErr w:type="spellStart"/>
            <w:r>
              <w:t>Adelie</w:t>
            </w:r>
            <w:proofErr w:type="spellEnd"/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6C879F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Torgersen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9BBB85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3450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75E412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female</w:t>
            </w:r>
          </w:p>
        </w:tc>
      </w:tr>
      <w:tr w:rsidR="000E3567" w14:paraId="603CA37A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3B2C9D" w14:textId="77777777" w:rsidR="000E3567" w:rsidRDefault="000F5102">
            <w:pPr>
              <w:widowControl w:val="0"/>
              <w:spacing w:line="240" w:lineRule="auto"/>
              <w:jc w:val="center"/>
            </w:pPr>
            <w:proofErr w:type="spellStart"/>
            <w:r>
              <w:t>Adelie</w:t>
            </w:r>
            <w:proofErr w:type="spellEnd"/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2B5FA6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Torgersen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012A43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4300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BF26B5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male</w:t>
            </w:r>
          </w:p>
        </w:tc>
      </w:tr>
      <w:tr w:rsidR="000E3567" w14:paraId="08FA63D3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58623B" w14:textId="77777777" w:rsidR="000E3567" w:rsidRDefault="000F5102">
            <w:pPr>
              <w:widowControl w:val="0"/>
              <w:spacing w:line="240" w:lineRule="auto"/>
              <w:jc w:val="center"/>
            </w:pPr>
            <w:proofErr w:type="spellStart"/>
            <w:r>
              <w:t>Adelie</w:t>
            </w:r>
            <w:proofErr w:type="spellEnd"/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BD1BEC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E4DFD6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2925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6BE9F0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female</w:t>
            </w:r>
          </w:p>
        </w:tc>
      </w:tr>
      <w:tr w:rsidR="000E3567" w14:paraId="6298DB38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D43BA5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Gentoo</w:t>
            </w:r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00DFF0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9BE077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4875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FF0CBF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female</w:t>
            </w:r>
          </w:p>
        </w:tc>
      </w:tr>
      <w:tr w:rsidR="000E3567" w14:paraId="28D0DC38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1ED966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Gentoo</w:t>
            </w:r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86E0AB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65C5F5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5600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680691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male</w:t>
            </w:r>
          </w:p>
        </w:tc>
      </w:tr>
      <w:tr w:rsidR="000E3567" w14:paraId="30377DFD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9D0743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Gentoo</w:t>
            </w:r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2C9B02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439DBB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5950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06C81B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male</w:t>
            </w:r>
          </w:p>
        </w:tc>
      </w:tr>
      <w:tr w:rsidR="000E3567" w14:paraId="1E27603E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E92601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Gentoo</w:t>
            </w:r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63DF10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713578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5050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1CE91B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male</w:t>
            </w:r>
          </w:p>
        </w:tc>
      </w:tr>
      <w:tr w:rsidR="000E3567" w14:paraId="22854BA4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A3DD2C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Gentoo</w:t>
            </w:r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68D919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5D4E14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4450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891F5F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female</w:t>
            </w:r>
          </w:p>
        </w:tc>
      </w:tr>
      <w:tr w:rsidR="000E3567" w14:paraId="710FA518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B39B08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Gentoo</w:t>
            </w:r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4F748B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36F567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4400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714278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female</w:t>
            </w:r>
          </w:p>
        </w:tc>
      </w:tr>
      <w:tr w:rsidR="000E3567" w14:paraId="09714F3B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3D9012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Gentoo</w:t>
            </w:r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CCB56A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588A29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4150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B92946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female</w:t>
            </w:r>
          </w:p>
        </w:tc>
      </w:tr>
      <w:tr w:rsidR="000E3567" w14:paraId="4C698C36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F93404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Gentoo</w:t>
            </w:r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4D7664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C39440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5000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1B1E64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female</w:t>
            </w:r>
          </w:p>
        </w:tc>
      </w:tr>
      <w:tr w:rsidR="000E3567" w14:paraId="120178B2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34E211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Gentoo</w:t>
            </w:r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D14F9C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E7FEAB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4750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21CEA6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female</w:t>
            </w:r>
          </w:p>
        </w:tc>
      </w:tr>
      <w:tr w:rsidR="000E3567" w14:paraId="07C7C5B2" w14:textId="77777777">
        <w:tc>
          <w:tcPr>
            <w:tcW w:w="157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7FF597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Gentoo</w:t>
            </w:r>
          </w:p>
        </w:tc>
        <w:tc>
          <w:tcPr>
            <w:tcW w:w="15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FD9326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Biscoe</w:t>
            </w:r>
          </w:p>
        </w:tc>
        <w:tc>
          <w:tcPr>
            <w:tcW w:w="2100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02E4DB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4400</w:t>
            </w:r>
          </w:p>
        </w:tc>
        <w:tc>
          <w:tcPr>
            <w:tcW w:w="1485" w:type="dxa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128D68" w14:textId="77777777" w:rsidR="000E3567" w:rsidRDefault="000F5102">
            <w:pPr>
              <w:widowControl w:val="0"/>
              <w:spacing w:line="240" w:lineRule="auto"/>
              <w:jc w:val="center"/>
            </w:pPr>
            <w:r>
              <w:t>female</w:t>
            </w:r>
          </w:p>
        </w:tc>
      </w:tr>
    </w:tbl>
    <w:p w14:paraId="15F7FB42" w14:textId="77777777" w:rsidR="000E3567" w:rsidRDefault="000E3567"/>
    <w:p w14:paraId="656ED24A" w14:textId="77777777" w:rsidR="000E3567" w:rsidRDefault="000E3567"/>
    <w:p w14:paraId="67864D60" w14:textId="77777777" w:rsidR="000E3567" w:rsidRDefault="000E356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E3567" w14:paraId="249C299D" w14:textId="77777777">
        <w:trPr>
          <w:trHeight w:val="342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5CAE" w14:textId="77777777" w:rsidR="000E3567" w:rsidRDefault="000E3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BE7" w14:textId="77777777" w:rsidR="000E3567" w:rsidRDefault="000F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Adelie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EBB5" w14:textId="77777777" w:rsidR="000E3567" w:rsidRDefault="000F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Gentoo</w:t>
            </w:r>
          </w:p>
        </w:tc>
      </w:tr>
      <w:tr w:rsidR="000E3567" w14:paraId="6DE6CCC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41FB" w14:textId="77777777" w:rsidR="000E3567" w:rsidRDefault="000F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Mean body mass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0645" w14:textId="77777777" w:rsidR="000E3567" w:rsidRDefault="000E3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8395" w14:textId="77777777" w:rsidR="000E3567" w:rsidRDefault="000E3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3567" w14:paraId="1BDF375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2251" w14:textId="77777777" w:rsidR="000E3567" w:rsidRDefault="000F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 deviation of body mass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5060" w14:textId="77777777" w:rsidR="000E3567" w:rsidRDefault="000E3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2947" w14:textId="77777777" w:rsidR="000E3567" w:rsidRDefault="000E3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E3567" w14:paraId="207CBFA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3D46" w14:textId="77777777" w:rsidR="000E3567" w:rsidRDefault="000F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Sample size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8343" w14:textId="77777777" w:rsidR="000E3567" w:rsidRDefault="000E3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A390" w14:textId="77777777" w:rsidR="000E3567" w:rsidRDefault="000E3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CD22D0E" w14:textId="77777777" w:rsidR="000E3567" w:rsidRDefault="000E3567"/>
    <w:p w14:paraId="561770CA" w14:textId="77777777" w:rsidR="000E3567" w:rsidRDefault="000E3567"/>
    <w:p w14:paraId="5C4ED537" w14:textId="77777777" w:rsidR="000E3567" w:rsidRDefault="000F5102">
      <w:r>
        <w:lastRenderedPageBreak/>
        <w:t xml:space="preserve">How many degrees of freedom? </w:t>
      </w:r>
    </w:p>
    <w:p w14:paraId="57568508" w14:textId="77777777" w:rsidR="000E3567" w:rsidRDefault="000E3567"/>
    <w:p w14:paraId="2D3A6CE2" w14:textId="77777777" w:rsidR="000E3567" w:rsidRDefault="000F5102">
      <w:r>
        <w:rPr>
          <w:noProof/>
        </w:rPr>
        <w:drawing>
          <wp:inline distT="114300" distB="114300" distL="114300" distR="114300" wp14:anchorId="37938B61" wp14:editId="3256D3FF">
            <wp:extent cx="5943600" cy="4838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FDFF0" w14:textId="77777777" w:rsidR="000E3567" w:rsidRDefault="000E3567"/>
    <w:p w14:paraId="1FEEB8C1" w14:textId="77777777" w:rsidR="000E3567" w:rsidRDefault="000F5102">
      <w:r>
        <w:t xml:space="preserve">What is the critical value for your t-statistic given your degrees of freedom and a significance level of 0.05? What does this value mean? </w:t>
      </w:r>
    </w:p>
    <w:p w14:paraId="2432914B" w14:textId="77777777" w:rsidR="000E3567" w:rsidRDefault="000E3567"/>
    <w:p w14:paraId="42FCA12B" w14:textId="77777777" w:rsidR="000E3567" w:rsidRDefault="000E3567"/>
    <w:p w14:paraId="70BFCDED" w14:textId="77777777" w:rsidR="000E3567" w:rsidRDefault="000E3567"/>
    <w:p w14:paraId="094BFF1A" w14:textId="77777777" w:rsidR="000E3567" w:rsidRDefault="000E3567"/>
    <w:p w14:paraId="4386419E" w14:textId="77777777" w:rsidR="000E3567" w:rsidRDefault="000F5102">
      <w:r>
        <w:t xml:space="preserve">Write a sentence or two that accurately reports your t-statistic, the p-value associated with it the critical value, and what that means in terms of whether or not the two populations you are comparing are statistically significantly different. </w:t>
      </w:r>
    </w:p>
    <w:p w14:paraId="10901495" w14:textId="77777777" w:rsidR="000E3567" w:rsidRDefault="000E3567"/>
    <w:p w14:paraId="027244DD" w14:textId="77777777" w:rsidR="000E3567" w:rsidRDefault="000E3567">
      <w:pPr>
        <w:widowControl w:val="0"/>
        <w:spacing w:line="240" w:lineRule="auto"/>
      </w:pPr>
    </w:p>
    <w:p w14:paraId="74C8969E" w14:textId="77777777" w:rsidR="000E3567" w:rsidRDefault="000E3567">
      <w:pPr>
        <w:widowControl w:val="0"/>
        <w:spacing w:line="240" w:lineRule="auto"/>
      </w:pPr>
    </w:p>
    <w:p w14:paraId="4E471E6A" w14:textId="77777777" w:rsidR="000E3567" w:rsidRDefault="000E3567">
      <w:pPr>
        <w:widowControl w:val="0"/>
        <w:spacing w:line="240" w:lineRule="auto"/>
      </w:pPr>
    </w:p>
    <w:p w14:paraId="1966B262" w14:textId="77777777" w:rsidR="000E3567" w:rsidRDefault="000E3567">
      <w:pPr>
        <w:widowControl w:val="0"/>
        <w:spacing w:line="240" w:lineRule="auto"/>
      </w:pPr>
    </w:p>
    <w:sectPr w:rsidR="000E35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43AEC"/>
    <w:multiLevelType w:val="multilevel"/>
    <w:tmpl w:val="709ED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09672E"/>
    <w:multiLevelType w:val="multilevel"/>
    <w:tmpl w:val="13B8C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567"/>
    <w:rsid w:val="000E3567"/>
    <w:rsid w:val="000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876F"/>
  <w15:docId w15:val="{0D3951EB-ECB3-4B46-95EB-7EF9B718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statology.org/here-is-how-to-find-the-p-value-from-the-t-distribution-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tudent%27s_t-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2023-10-18T22:16:00Z</dcterms:created>
  <dcterms:modified xsi:type="dcterms:W3CDTF">2023-10-18T22:16:00Z</dcterms:modified>
</cp:coreProperties>
</file>