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t>February 28, 2026</w:t>
      </w:r>
    </w:p>
    <w:p>
      <w:r>
        <w:t>The Editors</w:t>
      </w:r>
    </w:p>
    <w:p>
      <w:pPr>
        <w:spacing w:after="480"/>
      </w:pPr>
      <w:r>
        <w:rPr>
          <w:i/>
        </w:rPr>
        <w:t>Genome Biology</w:t>
      </w:r>
    </w:p>
    <w:p>
      <w:pPr>
        <w:spacing w:after="240"/>
      </w:pPr>
      <w:r>
        <w:t>Dear Editors,</w:t>
      </w:r>
    </w:p>
    <w:p>
      <w:pPr>
        <w:spacing w:after="120"/>
      </w:pPr>
      <w:r>
        <w:t>I am pleased to submit the manuscript entitled "Sparse autoencoders reveal organized biological knowledge but minimal regulatory logic in single-cell foundation models: a comparative atlas of Geneformer and scGPT" for consideration as a Research article in Genome Biology.</w:t>
      </w:r>
    </w:p>
    <w:p>
      <w:pPr>
        <w:spacing w:after="120"/>
      </w:pPr>
      <w:r>
        <w:t>Single-cell foundation models such as Geneformer and scGPT are increasingly used for gene network inference, yet whether they encode causal regulatory logic remains unclear. I address this question by applying sparse autoencoders — a technique from AI interpretability — to decompose the internal representations of both models, producing the first comprehensive feature atlases of single-cell foundation models.</w:t>
      </w:r>
    </w:p>
    <w:p>
      <w:pPr>
        <w:spacing w:after="120"/>
      </w:pPr>
      <w:r>
        <w:t>The key findings are:</w:t>
      </w:r>
    </w:p>
    <w:p>
      <w:pPr>
        <w:pStyle w:val="ListBullet"/>
        <w:spacing w:after="40"/>
      </w:pPr>
      <w:r>
        <w:t>Both models exhibit massive superposition: 99.8% of features are invisible to SVD, yet carry 98.7% of biological annotations.</w:t>
      </w:r>
    </w:p>
    <w:p>
      <w:pPr>
        <w:pStyle w:val="ListBullet"/>
        <w:spacing w:after="40"/>
      </w:pPr>
      <w:r>
        <w:t>Features organize into biologically coherent modules with hierarchical abstraction across layers.</w:t>
      </w:r>
    </w:p>
    <w:p>
      <w:pPr>
        <w:pStyle w:val="ListBullet"/>
        <w:spacing w:after="40"/>
      </w:pPr>
      <w:r>
        <w:t>Despite this rich biological organization, only 6.2% of transcription factors show regulatory-target-specific feature responses, confirming that these models encode co-expression rather than causal regulation.</w:t>
      </w:r>
    </w:p>
    <w:p>
      <w:pPr>
        <w:pStyle w:val="ListBullet"/>
        <w:spacing w:after="40"/>
      </w:pPr>
      <w:r>
        <w:t>A multi-tissue control experiment establishes the model — not the analysis method — as the bottleneck.</w:t>
      </w:r>
    </w:p>
    <w:p>
      <w:pPr>
        <w:spacing w:before="240" w:after="120"/>
      </w:pPr>
      <w:r>
        <w:t>I release two interactive feature atlases (107,000+ features across 30 layers) as community resources, along with all analysis code at https://github.com/Biodyn-AI/bio-sae. I believe this work will be of broad interest to Genome Biology’s readership, as it provides the first mechanistic understanding of what single-cell foundation models actually learn, with direct implications for how these models should (and should not) be used for gene regulatory network inference.</w:t>
      </w:r>
    </w:p>
    <w:p>
      <w:pPr>
        <w:spacing w:before="240" w:after="120"/>
      </w:pPr>
      <w:r>
        <w:t>This manuscript has not been published elsewhere and is not under consideration at another journal. A companion paper focusing on attention-based interpretability is currently available as a preprint (Kendiukhov, 2025).</w:t>
      </w:r>
    </w:p>
    <w:p>
      <w:pPr>
        <w:spacing w:before="240" w:after="120"/>
      </w:pPr>
      <w:r>
        <w:t>Thank you for your consideration.</w:t>
      </w:r>
    </w:p>
    <w:p>
      <w:pPr>
        <w:spacing w:before="360"/>
      </w:pPr>
      <w:r>
        <w:t>Sincerely,</w:t>
      </w:r>
    </w:p>
    <w:p>
      <w:pPr>
        <w:spacing w:before="240"/>
      </w:pPr>
      <w:r>
        <w:rPr>
          <w:b/>
        </w:rPr>
        <w:t>Ihor Kendiukhov</w:t>
      </w:r>
    </w:p>
    <w:p>
      <w:r>
        <w:t>Department of Computer Science</w:t>
      </w:r>
    </w:p>
    <w:p>
      <w:r>
        <w:t>University of Tübingen, Tübingen, Germany</w:t>
      </w:r>
    </w:p>
    <w:p>
      <w:r>
        <w:t>kendiukhov@gmail.com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