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build, at every transformer layer, a representation of each gene that depends on the other genes in the cell. Whether this contextual representation shows how a gene’s role differs between cell types,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(217M and 1B), scGPT and STATE on identical Tabula Sapiens cells from 12 cell types, and in MaxToki-217M also on independent bone-marrow data. In every model a gene’s representation changes with cell type in a gene-specific way: the change agrees between two independent halves of the cells, with a cosine 0.74 to 0.87 higher than for a randomly paired gene. It is not explained by the gene’s rank in the cell and replicates on the bone-marrow data. Untrained versions keep 36–88% of it, and a representation built from expression alone also shows it (+0.321). In MaxToki-217M the change follows functional axes such as nuclear versus surface genes (z = +13.3 against random axes; on this axis STATE shows less and scGPT little). In all four models it follows co-expressed gene sets. None of three expression-only representations shows either kind of organisation. In no model is the functional organisation significantly stronger than that of gene sets matched on co-expression (smallest p = 0.07), although this test detects only large differences. Adding the nuclear/surface direction to half of a cell’s genes shifts MaxToki’s predictions for the other half more than random directions from the same genes; as the pushes exceed natural changes, this shows the model can read the direction, not that it uses it. In both MaxToki models, genes that change more gain slightly more from their own context in next-gene prediction. Two direct tests for context-specific gene function were negative in all four models.</w:t>
      </w:r>
    </w:p>
    <w:p>
      <w:pPr>
        <w:pStyle w:val="BodyText"/>
      </w:pPr>
      <w:r>
        <w:rPr>
          <w:b/>
          <w:bCs/>
        </w:rPr>
        <w:t xml:space="preserve">Conclusions:</w:t>
      </w:r>
      <w:r>
        <w:t xml:space="preserve"> </w:t>
      </w:r>
      <w:r>
        <w:t xml:space="preserve">Single-cell foundation models build real contextual gene representations, organised by co-expression. We found no context-specific gene function beyond co-expression, though our tests could detect only clear effects. Models trained on more than expression were not tested. Functional organisation separates some architectures but does not rank them reliably.</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trained on Othello and chess build internal representations of the board and of hidden variables such as player skill</w:t>
      </w:r>
      <w:r>
        <w:t xml:space="preserve"> </w:t>
      </w:r>
      <w:r>
        <w:t xml:space="preserve">[1–3]</w:t>
      </w:r>
      <w:r>
        <w:t xml:space="preserve">. Language models encode space and time along single directions that a linear probe can read</w:t>
      </w:r>
      <w:r>
        <w:t xml:space="preserve"> </w:t>
      </w:r>
      <w:r>
        <w:t xml:space="preserve">[4]</w:t>
      </w:r>
      <w:r>
        <w:t xml:space="preserve">. In the best cases the model also uses these representations to make its predictions. One tests this by changing the representation and measuring the effect on the model’s output</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Their geometry has been mapped when averaged over cells or within one tissue (Related work), but how a single gene’s vector changes from one cell type to another has not been measured. A model could use this vector to represent that a gene plays a different role in a macrophage than in a T cell. That would be the biological counterpart of word sense. The</w:t>
      </w:r>
      <w:r>
        <w:t xml:space="preserve"> </w:t>
      </w:r>
      <w:r>
        <w:t xml:space="preserve">“cell as a token”</w:t>
      </w:r>
      <w:r>
        <w:t xml:space="preserve"> </w:t>
      </w:r>
      <w:r>
        <w:t xml:space="preserve">framing points to this question but does not test it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latent variables that models use causally</w:t>
      </w:r>
      <w:r>
        <w:t xml:space="preserve"> </w:t>
      </w:r>
      <w:r>
        <w:t xml:space="preserve">[1–4]</w:t>
      </w:r>
      <w:r>
        <w:t xml:space="preserve"> </w:t>
      </w:r>
      <w:r>
        <w:t xml:space="preserve">we adopt one rule: a probe shows only correlation, so a causal claim needs an intervention compared against a matched control. We also use the steering methods of this literature</w:t>
      </w:r>
      <w:r>
        <w:t xml:space="preserve"> </w:t>
      </w:r>
      <w:r>
        <w:t xml:space="preserve">[5, 6]</w:t>
      </w:r>
      <w:r>
        <w:t xml:space="preserve">. Templeton et al. did the same at large scale, extracting interpretable feature directions from a production model and steering it with them</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Universal Cell Embeddings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That test used TRRUST edges, which are the same in every tissue, so it did not ask whether a gene’s role differs between tissues.</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when a moonlighting protein changes function with its location or binding partners</w:t>
      </w:r>
      <w:r>
        <w:t xml:space="preserve"> </w:t>
      </w:r>
      <w:r>
        <w:t xml:space="preserve">[39]</w:t>
      </w:r>
      <w:r>
        <w:t xml:space="preserve">, and need not change the gene’s expression.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is that reshaping learned, and is it linked to what the model does? Level 2 (biology): does the reshaping reveal something about the gene’s role in each context beyond what co-expression already tells us? We study Level 1 for MaxToki-217M in depth (rank control, independent replication, random-weights control, link to the model’s predictions, steering) and repeat the central tests in MaxToki-1B, scGPT and STATE on identical cells. For Level 2, we test the functional organisation of the contextualisation against co-expression nulls and against representations built from expression alone, and run two direct tests for context-specific gene function, in all four models. The study makes three contributions. (1) It measures how much, and how gene-specifically, a gene’s representation changes between cell types (Level 1). It also tests whether the model reacts when functional directions are pushed into it, and whether genes that change more gain more from their own context in next-gene prediction. Neither test shows that the natural change is used. (2) It shows that this change is organised by co-expression, and that two tests find no context-specific gene function beyond co-expression in any of the four models (Level 2). (3) It tests whether the functional organisation of the change can be used to compare models, and where that comparison breaks down.</w:t>
      </w:r>
    </w:p>
    <w:bookmarkEnd w:id="10"/>
    <w:bookmarkStart w:id="24"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all models,</w:t>
      </w:r>
      <w:r>
        <w:t xml:space="preserve"> </w:t>
      </w:r>
      <w:r>
        <w:t xml:space="preserve">“layer</w:t>
      </w:r>
      <w:r>
        <w:t xml:space="preserve"> </w:t>
      </w:r>
      <w:r>
        <w:rPr>
          <w:i/>
          <w:iCs/>
        </w:rPr>
        <w:t xml:space="preserve">k</w:t>
      </w:r>
      <w:r>
        <w:t xml:space="preserve">”</w:t>
      </w:r>
      <w:r>
        <w:t xml:space="preserve"> </w:t>
      </w:r>
      <w:r>
        <w:t xml:space="preserve">is the representation after</w:t>
      </w:r>
      <w:r>
        <w:t xml:space="preserve"> </w:t>
      </w:r>
      <w:r>
        <w:rPr>
          <w:i/>
          <w:iCs/>
        </w:rPr>
        <w:t xml:space="preserve">k</w:t>
      </w:r>
      <w:r>
        <w:t xml:space="preserve"> </w:t>
      </w:r>
      <w:r>
        <w:t xml:space="preserve">transformer blocks, so models can be compared at matched relative depth (</w:t>
      </w:r>
      <w:r>
        <w:rPr>
          <w:i/>
          <w:iCs/>
        </w:rPr>
        <w:t xml:space="preserve">k</w:t>
      </w:r>
      <w:r>
        <w:t xml:space="preserve"> </w:t>
      </w:r>
      <w:r>
        <w:t xml:space="preserve">divided by the number of blocks). As untrained controls, we built each architecture with random initial weights (the library’s default initialisation, seed 0): a</w:t>
      </w:r>
      <w:r>
        <w:t xml:space="preserve"> </w:t>
      </w:r>
      <w:r>
        <w:rPr>
          <w:rStyle w:val="VerbatimChar"/>
        </w:rPr>
        <w:t xml:space="preserve">LlamaForCausalLM</w:t>
      </w:r>
      <w:r>
        <w:t xml:space="preserve"> </w:t>
      </w:r>
      <w:r>
        <w:t xml:space="preserve">from MaxToki-217M’s configuration with the same vocabulary, scGPT’s</w:t>
      </w:r>
      <w:r>
        <w:t xml:space="preserve"> </w:t>
      </w:r>
      <w:r>
        <w:rPr>
          <w:rStyle w:val="VerbatimChar"/>
        </w:rPr>
        <w:t xml:space="preserve">TransformerModel</w:t>
      </w:r>
      <w:r>
        <w:t xml:space="preserve"> </w:t>
      </w:r>
      <w:r>
        <w:t xml:space="preserve">with the whole-human configuration, and STATE’s model with all weights random except its gene table. STATE never trains this table (fixed ESM2 protein embeddings), so it is the same in the trained and untrained models; the learned projection that reads it is random.</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hold log(1 + counts per 10,000), written log1p below, in their main matrix, computed from counts corrected for ambient RNA, and the original integer counts in their raw matrix. All model inputs, the expression-only representations and the co-expression matrix were computed from the raw counts, so they include ambient RNA. Most selected cells come from 10x 3’ assays; about 4% are Smart-seq2 cells, whose counts are read counts. Contexts are cell types, with cells pooled over the three datasets: the 12 cell types with the most cells (macrophage, pulmonary alveolar type 2 cell, kidney epithelial cell, capillary endothelial cell, CD4-positive alpha-beta T cell, CD8-positive alpha-beta T cell, B cell, basal cell, pulmonary alveolar type 1 cell, intermediate monocyte, neutrophil and classical monocyte), each with at least 1000 cells. We took 1000 randomly chosen cells per cell type (seed 0). Some cell types come from one dataset and others mix two or three (for example, most macrophages are lung cells), so a shift between two cell types can also reflect a different tissue mix.</w:t>
      </w:r>
    </w:p>
    <w:p>
      <w:pPr>
        <w:pStyle w:val="BodyText"/>
      </w:pPr>
      <w:r>
        <w:t xml:space="preserve">For independent replication we used the human CD34+ bone-marrow data of Setty et al.</w:t>
      </w:r>
      <w:r>
        <w:t xml:space="preserve"> </w:t>
      </w:r>
      <w:r>
        <w:t xml:space="preserve">[50]</w:t>
      </w:r>
      <w:r>
        <w:t xml:space="preserve"> </w:t>
      </w:r>
      <w:r>
        <w:t xml:space="preserve">(5780 cells) 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most Tabula Sapiens counts come from 10x assays that also count intronic reads, the main Setty analysis ranks genes by the sum of spliced and unspliced counts; a robustness run used spliced counts only. Contexts are the nine differentiation clusters with at least 130 cells: two haematopoietic stem cell clusters, precursors, common lymphoid progenitors, two erythroid clusters, two monocyte clusters and dendritic cells. Megakaryocytes (61 cells) were excluded, and all 5719 cells of the nine kept clusters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from Geneformer’s gc104M gene-median dictionary (MaxToki’s vocabulary holds the same 20,271 genes; the released MaxToki checkpoints include no median dictionary of their own), and the non-zero genes are ranked in decreasing order. A per-cell scale factor does not change the order within a cell, so the order is that of raw count divided by gene median. The first 1022 genes were kept and wrapped in the beginning- and end-of-sequence tokens (1024 tokens at most), a quarter of the model’s 4096-token limit, to limit compute. Most cells express more genes than this, so MaxToki saw roughly the top 40% of a typical cell’s genes, ranked by count divided by gene median. On real cells, this ordering gives the same token sequences as a separate rank-value tokenizer we wrote earlier for MaxToki, except that genes whose count-to-median values are equal after rounding to 32-bit floating point can appear in swapped order; we did not compare against an official MaxToki tokenizer.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guard against known sources of false signal. (1) Pairs of cell types, not only genes found in every cell type: each per-gene mean is built from at most 50 occurrences in each half of the cells (see (3)), and we call a gene count-balanced in a cell type if it reaches that cap in both halves.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So we compare cell types two at a time. The panel contains genes with at least 25 occurrences in at least two cell types (the 6000 most frequent such genes). (2) Cell-level split halves: the cells of each cell type were split into two equal halves (500 cells each in the main extraction, 300 each in the 600-cell runs). So every per-gene mean is estimated twice, from different cells, and a result counts only if it repeats in both halves.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is count-balanced, that is, it reached the cap in both partitions. (4) Per-dimension z-scoring: before EXCESS, the functional axes and every other cosine-based measure,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 The anisotropy check (below) also reports cosines on the raw representations, for comparison.</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 4. Setty data: cap 25, a floor of 15 occurrences in at least two clusters, a 5000-gene panel, layers 2 and 4.</w:t>
      </w:r>
    </w:p>
    <w:p>
      <w:pPr>
        <w:pStyle w:val="BodyText"/>
      </w:pPr>
      <w:r>
        <w:t xml:space="preserve">scGPT and STATE were run on exactly the same cells, cell types and partitions as the 600-cell MaxToki runs, with the same 5000-gene panel and cap 50, each with its own standard input. scGPT (following its checkpoint configuration and its cell-embedding pipeline): the raw counts of all expressed genes in scGPT’s vocabulary were quantile-binned into 50 bins within the cell, 1199 of them were then sampled at random if the cell had more, and the</w:t>
      </w:r>
      <w:r>
        <w:t xml:space="preserve"> </w:t>
      </w:r>
      <w:r>
        <w:rPr>
          <w:rStyle w:val="VerbatimChar"/>
        </w:rPr>
        <w:t xml:space="preserve">&lt;cls&gt;</w:t>
      </w:r>
      <w:r>
        <w:t xml:space="preserve"> </w:t>
      </w:r>
      <w:r>
        <w:t xml:space="preserve">token was prepended; layers 2, 4 and 9 (relative depth 0.17, 0.33 and 0.75). STATE (through its own data collator): raw counts over the genes in its protein table, the top 2047 expressed genes by count; we kept only positions holding expressed genes; layers 3, 6 and 12 (relative depth 0.19, 0.38 and 0.75). Of the 5000 panel genes, 4964 are in scGPT’s vocabulary and 4969 in STATE’s protein table. Each model’s own count-balanced entries were used. The untrained controls used the same cells and panel.</w:t>
      </w:r>
    </w:p>
    <w:bookmarkEnd w:id="13"/>
    <w:bookmarkStart w:id="14" w:name="expression-only-representations"/>
    <w:p>
      <w:pPr>
        <w:pStyle w:val="Heading2"/>
      </w:pPr>
      <w:r>
        <w:t xml:space="preserve">Expression-only representations</w:t>
      </w:r>
    </w:p>
    <w:p>
      <w:pPr>
        <w:pStyle w:val="FirstParagraph"/>
      </w:pPr>
      <w:r>
        <w:t xml:space="preserve">To test directly whether expression alone produces the functional organisation, we built contextual gene representations with no model, from the same cells, cell types and partitions as the 600-cell runs. Landmark version: in each cell type and partition, gene</w:t>
      </w:r>
      <w:r>
        <w:t xml:space="preserve"> </w:t>
      </w:r>
      <w:r>
        <w:rPr>
          <w:i/>
          <w:iCs/>
        </w:rPr>
        <w:t xml:space="preserve">g</w:t>
      </w:r>
      <w:r>
        <w:t xml:space="preserve"> </w:t>
      </w:r>
      <w:r>
        <w:t xml:space="preserve">was represented by the vector of Pearson correlations, across those 300 cells, between</w:t>
      </w:r>
      <w:r>
        <w:t xml:space="preserve"> </w:t>
      </w:r>
      <w:r>
        <w:rPr>
          <w:i/>
          <w:iCs/>
        </w:rPr>
        <w:t xml:space="preserve">g</w:t>
      </w:r>
      <w:r>
        <w:t xml:space="preserve">’s log1p(counts per 10,000) and that of each of 512 landmark genes (the most variable panel genes over all selected cells). Principal-component version: the same, with the scores of 256 principal components of the z-scored expression of all selected cells in place of the landmarks. Both are correlation profiles within one cell type, so they cannot see genes that rise and fall together between cell types. Our co-expression measure (next sections) pools all cell types and so includes that part. We therefore added a third version, built on axes from all cell types pooled, that we expected to respond to that part. Each of its vectors is still an average over cells of one cell type, divided by the gene’s total expression there, so the gene’s level in each cell type cancels out; it may therefore not capture co-expression between cell types either, and we did not check this directly. Centroid version: gene</w:t>
      </w:r>
      <w:r>
        <w:t xml:space="preserve"> </w:t>
      </w:r>
      <w:r>
        <w:rPr>
          <w:i/>
          <w:iCs/>
        </w:rPr>
        <w:t xml:space="preserve">g</w:t>
      </w:r>
      <w:r>
        <w:t xml:space="preserve"> </w:t>
      </w:r>
      <w:r>
        <w:t xml:space="preserve">in a cell type and partition was placed at the expression-weighted mean position of its expressing cells in the first 50 principal components of the same pooled, z-scored expression, that is, where in the pooled cell space the gene is expressed within that cell type. As in the model extractions, the cells of each cell type and partition were put in a random order and only the first 50 cells expressing the gene were used, so each vector averages as many cells as a model vector averages occurrences. Without this cap a vector averages all expressing cells (a median of 202 per entry; 10th to 90th percentile 108 to 277); we report that version only as a check. We first built the centroid version with 512 components and no cap. It failed the positive control: the shift shared by all genes did not replicate between the two halves of the cells (cosine −0.22), because z-scoring each dimension gives the many noisy high-numbered components equal weight. With 50 components, a common default in single-cell analysis, it passes (replication +0.79); we did not run other numbers of components through the pipeline. The 512-component and all-cells results are in Additional file 1. The landmark and principal-component versions are correlations across all 300 cells of each half, so they are not matched to the models’ 50 occurrences. All three used the same gene panel and the same count-balanced entries as MaxToki-217M and went through the identical pipeline (EXCESS, functional axes, all nulls).</w:t>
      </w:r>
      <w:r>
        <w:t xml:space="preserve"> </w:t>
      </w:r>
      <w:r>
        <w:t xml:space="preserve">“Layer”</w:t>
      </w:r>
      <w:r>
        <w:t xml:space="preserve"> </w:t>
      </w:r>
      <w:r>
        <w:t xml:space="preserve">does not apply to them.</w:t>
      </w:r>
    </w:p>
    <w:bookmarkEnd w:id="14"/>
    <w:bookmarkStart w:id="15"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comparison of contextualisation strength and in the Setty analysis), which equals a mean over pairs weighted by their number of genes. In the 600-cell data three of the 66 pairs have 150 to 199 such genes, so EXCESS in the cross-model comparison can differ by up to 0.003 from EXCESS in the functional-organisation controls.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 Self-similarity was averaged over all genes count-balanced in at least two cell types (5433 at layer 4). The anisotropy baseline is the mean over 6000 random pairs of (gene, cell type) entries, and the first-PC share comes from 4000 randomly drawn entries.</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in which it was among the 1022 genes given to MaxToki (only these cells give the gene a representation), using the same cells as the extraction. We split genes at the median absolute rank change into rank-stable and rank-moving halves and recomputed EXCESS in each, correlated the size of the shift with the rank change, and recomputed EXCESS after a linear regression of the shift on the gene’s mean rank in each of the two cell types and on its absolute rank change. Because rank could act in a curved way, we repeated the regression with squared, product and log terms of the ranks. As a second check, we replaced the gene-shuffled control with a rank-matched one: each gene’s shift was compared with that of the gene nearest to it in (rank in one cell type, rank in the other). If rank drove the shift, genes with the same ranks would share it.</w:t>
      </w:r>
    </w:p>
    <w:bookmarkEnd w:id="15"/>
    <w:bookmarkStart w:id="16"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6"/>
    <w:bookmarkStart w:id="17"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of the three axes with well-separated poles (nuclear/surface, mitochondrion/cytoskeleton and transcription/transport; the cell-cycle/differentiation axis separates its poles only weakly and was not tested) with null axes whose two poles have the same sizes as the functional poles, using the rank-controlled power. Null 1 (random axes) is the null behind functional-z and was computed at layers 4, 8 and 11; its empirical p was computed at layer 4. Nulls 2 and 3 were computed at layer 4, and null 4 at layers 4 and 8. In the 600-cell comparison each model was tested at its own depth-matched layer.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with the functional poles’ sizes (300 axes). For functional-z the two poles do not overlap. For the empirical p at layer 4 we drew a separate set of 300 random axes, with the two poles chosen separately so that they can share genes.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kept pole size fixed and traced power against the share of each pole drawn from the genes most co-expressed with the seed gene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 When a functional pole was less tight than random genes, so that even a random set was at least as tight, a random set of the same size was used for that pole. This happened in at most 11 of 300 null axes for any axis in the four trained models. In the landmark expression-only version it happened in at most 36 of 300. In the centroid expression-only version it happened in at most 3 of 300. The other pole of each axis was always matched. Such sets make the null harder, not easier, to beat.</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7"/>
    <w:bookmarkStart w:id="18"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used a wider gene set than the direction: every gene token in MaxToki’s vocabulary annotated to a pole (4844 nuclear and 5520 surface tokens; genes annotated to both removed). The readout (specificity) was the mean change in logit over the nuclear-pole tokens minus that over the surface-pole tokens.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first control was a random direction of the same norm, drawn fresh for each cell; significance was a one-sided sign test of functional swing greater than random swing across cells. This tests whether the push has a consistent effect in the expected direction. Because a random direction is not built like the axis, a second control was matched to the axis: 30 fixed random splits of the pooled nuclear-pole and surface-pole genes into two groups of the pole sizes, each turned into a direction exactly like the functional axis and applied to the same cells, positions and strength (0.5). The orientation of a random split is arbitrary, so we compared sizes: p = (1 + number of splits whose absolute mean swing is at least the absolute functional swing) / (30 + 1), whose smallest possible value is 1/(30 + 1) = 0.032. We read the direction from the sign of the functional swing. With 30 splits these p values cannot survive a correction for several tests, so we report them uncorrected, together with</w:t>
      </w:r>
      <w:r>
        <w:t xml:space="preserve"> </w:t>
      </w:r>
      <w:r>
        <w:rPr>
          <w:i/>
          <w:iCs/>
        </w:rPr>
        <w:t xml:space="preserve">z</w:t>
      </w:r>
      <w:r>
        <w:t xml:space="preserve">, the number of standard deviations by which the functional swing exceeds the absolute split swings.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p>
      <w:pPr>
        <w:pStyle w:val="BodyText"/>
      </w:pPr>
      <w:r>
        <w:t xml:space="preserve">To compare MaxToki-217M with MaxToki-1B, we repeated the steering test on the 600-cell extractions at matched relative depth (MaxToki-217M layer 4, MaxToki-1B layer 7), with a different push unit. MaxToki-1B has two hidden dimensions that are very large in every gene’s representation. Its raw residual norm is 3.0 times the norm of the part that differs between genes, against 1.1 times in MaxToki-217M, so a push scaled to the raw norm would be much stronger in MaxToki-1B. In this comparison the push unit was therefore the mean norm of the residual after removing its mean over the cell’s gene positions (averaged over 5 cells). We ran all three axes in both sizes, with both controls, and repeated the nuclear/surface test in both sizes with the axis, and the split directions, set to zero in the two largest dimensions. The 1000-cell configurations above were also run against the fixed splits.</w:t>
      </w:r>
    </w:p>
    <w:bookmarkEnd w:id="18"/>
    <w:bookmarkStart w:id="19"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(200 redraws), and (B) whether this excess closeness rises in cell types where the targets are more highly expressed (Spearman correlation across cell types with target activity, the negative of the targets’ mean rank). The matched non-targets are matched on co-expression with the TF but not on gene type, and curated target lists are rich in regulators, so (C) we also asked whether the TF is closer to its own targets than to the targets of the other TFs tested (same cell type, same measure). A cell type was used for a TF only if at least 8 of its targets were count-balanced there, and a TF needed at least 3 such cell types. All three questions were tested across TFs with sign tests.</w:t>
      </w:r>
    </w:p>
    <w:p>
      <w:pPr>
        <w:pStyle w:val="BodyText"/>
      </w:pPr>
      <w:r>
        <w:rPr>
          <w:b/>
          <w:bCs/>
        </w:rPr>
        <w:t xml:space="preserve">Lineage transcription factors.</w:t>
      </w:r>
      <w:r>
        <w:t xml:space="preserve"> </w:t>
      </w:r>
      <w:r>
        <w:t xml:space="preserve">We also tried a test on 14 TFs with lineage-specific roles in immune cells (SPI1, IRF4, IRF8, GATA3, MAFB, BCL6, PRDM1, TBX21, RUNX1, RUNX3, BATF, MAF, BACH2 and ZEB2)</w:t>
      </w:r>
      <w:r>
        <w:t xml:space="preserve"> </w:t>
      </w:r>
      <w:r>
        <w:t xml:space="preserve">[40]</w:t>
      </w:r>
      <w:r>
        <w:t xml:space="preserve">. It asked whether these TFs move more between cell types than other genes do. A gene’s movement was the part of its gene-specific shift in each cell type that repeats in both cell halves (the product of the two halves’ shifts, averaged over cell types; MaxToki-217M, 1000-cell extraction, layers 4 and 8). The controls were genes matched on abundance, and genes matched on abundance and on how much their co-expression partners change between cell types; p values came from a permutation that keeps TF families together. Because movement is averaged over cell types, the test needs genes count-balanced in at least 9 of the 12 cell types (Results).</w:t>
      </w:r>
    </w:p>
    <w:bookmarkEnd w:id="19"/>
    <w:bookmarkStart w:id="20" w:name="X895bd193368dee5b3e7977a62f3c45a9deabc2d"/>
    <w:p>
      <w:pPr>
        <w:pStyle w:val="Heading2"/>
      </w:pPr>
      <w:r>
        <w:t xml:space="preserve">Cross-model, scaling and random-weights comparison</w:t>
      </w:r>
    </w:p>
    <w:p>
      <w:pPr>
        <w:pStyle w:val="FirstParagraph"/>
      </w:pPr>
      <w:r>
        <w:t xml:space="preserve">All 600-cell representations (MaxToki-217M, MaxToki-1B, scGPT, STATE, the three untrained models and the three expression-only representations) share the cells, cell types, partitions and gene panel. Model vectors and centroid vectors average 50 occurrences or expressing cells per entry; the landmark and principal-component versions use all 300 cells of each half. EXCESS (on context pairs with at least 150 count-balanced genes) and nuclear/surface functional-z were computed the same way for every representation. Each trained model was scored at two depths (MaxToki-217M layers 2 and 4; MaxToki-1B layers 4 and 7; scGPT layers 2 and 4; STATE layers 3 and 6) and each untrained model at its depth-matched layer. In this comparison functional-z was computed without the rank regression, on genes count-balanced in at least 6 of the 12 cell types, against 1000 random axes whose two poles do not overlap. In the Setty replication it used genes count-balanced in at least 4 of the 9 clusters and 200 random axes, whose two poles were drawn separately, so they could share genes. Each model has its own count-balanced entries, so we repeated the comparison using only the (cell type, gene) entries that are count-balanced in every representation. The rank regression, all four nulls and both Level 2 tests were also run on the four trained models at their depth-matched layers (MaxToki-217M layer 4, MaxToki-1B layer 7, scGPT layer 4, STATE layer 6) and on the three expression-only representations. For the untrained models we also ran the curated-target test, and for untrained scGPT and STATE the rank regression on the functional axes. On the untrained models only random axes (null 1) were used: we ran none of the co-expression and tightness nulls (nulls 2 to 4) and not the directional-congruence test on them. We built no untrained MaxToki-1B. With 600 cells per cell type fewer genes reach the cap in many cell types, so these runs used genes count-balanced in at least 6 cell types. For the functional axes and the co-expression nulls, at least 9 cell types gave the same conclusions (Additional file 1); the Level 2 tests were run only with at least 6. For the rank regression of non-MaxToki representations we used MaxToki’s mean rank on the same cells as an abundance covariate. For the functional axes and the two co-expression nulls we repeated it with the gene’s mean log1p(counts per 10,000) instead.</w:t>
      </w:r>
    </w:p>
    <w:bookmarkEnd w:id="20"/>
    <w:bookmarkStart w:id="21"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was another cell, chosen at random, with at least as many genes as the real prefix. The donor genes used could not include the target gene, so the chimeric context never contains it. The per-gene context benefit (log-probability difference, averaged over occurrences; genes with at least 3 occurrences) was correlated with the gene’s context movement: the mean, over the cell types where the gene is count-balanced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This is one number per gene, unlike EXCESS. We used a partial Spearman correlation that controls for the log of the number of times the gene was sampled as a target, with a 95% CI from 2000 bootstrap resamples of genes.</w:t>
      </w:r>
    </w:p>
    <w:p>
      <w:pPr>
        <w:pStyle w:val="BodyText"/>
      </w:pPr>
      <w:r>
        <w:t xml:space="preserve">To compare MaxToki-217M and MaxToki-1B, we ran a paired version on the same 350 cells, with each gene’s context movement taken from the 600-cell extractions (MaxToki-217M layer 4, MaxToki-1B layer 7). The cells, target positions and donor cells were drawn from seeds that do not depend on the model, so both models were scored on identical (cell, position, donor) triples. Because MaxToki is causal, the log-probabilities for every prefix of a cell come from one forward pass over the whole cell; on 20 random queries per model this matched separate prefix passes to within 1.2 × 10</w:t>
      </w:r>
      <w:r>
        <w:rPr>
          <w:vertAlign w:val="superscript"/>
        </w:rPr>
        <w:t xml:space="preserve">−5</w:t>
      </w:r>
      <w:r>
        <w:t xml:space="preserve"> </w:t>
      </w:r>
      <w:r>
        <w:t xml:space="preserve">nats (largest difference). A second donor arm drew the donor from the same cell type, which asks whether context helps beyond cell identity.</w:t>
      </w:r>
    </w:p>
    <w:bookmarkEnd w:id="21"/>
    <w:bookmarkStart w:id="22" w:name="statistics-and-reproducibility"/>
    <w:p>
      <w:pPr>
        <w:pStyle w:val="Heading2"/>
      </w:pPr>
      <w:r>
        <w:t xml:space="preserve">Statistics and reproducibility</w:t>
      </w:r>
    </w:p>
    <w:p>
      <w:pPr>
        <w:pStyle w:val="FirstParagraph"/>
      </w:pPr>
      <w:r>
        <w:t xml:space="preserve">All random draws use fixed seeds (base seed 0), so every script draws the same cells, genes and null sets each time it runs. Most analyses work from saved hidden states; the steering and prediction-link tests run the model again. Empirical p values are one-sided unless stated. We corrected for multiple tests in three families. Steering (1000-cell MaxToki-217M): at each strength separately, the random-direction sign tests of the four configurations (nuclear/surface at layers 4 and 8; mitochondrion/cytoskeleton and transcription/transport at layer 4), with Bonferroni; the three strengths are not corrected against each other. Curated targets (1000-cell MaxToki-217M): static closeness and its rise with target activity, at layers 4 and 8, with Bonferroni. Directional congruence: three axes at layers 4 and 8 in the 1000-cell extraction, with Holm, counting only positive β; the same Holm correction was applied over each 600-cell representation’s own tests (Table 4). The fixed-split p values are not corrected (see Causal steering test). All other p values are not corrected, including the null p values (Table 3), the own-versus-other-targets test, the curated-target tests on the 600-cell representations (Table 4) and the 600-cell steering tests. Where Results gives a corrected value for one of these, it names the correction. Each analysis has its own script: input encoding</w:t>
      </w:r>
      <w:r>
        <w:t xml:space="preserve"> </w:t>
      </w:r>
      <w:r>
        <w:rPr>
          <w:rStyle w:val="VerbatimChar"/>
        </w:rPr>
        <w:t xml:space="preserve">ctx_tokenise.py</w:t>
      </w:r>
      <w:r>
        <w:t xml:space="preserve">; cell selection</w:t>
      </w:r>
      <w:r>
        <w:t xml:space="preserve"> </w:t>
      </w:r>
      <w:r>
        <w:rPr>
          <w:rStyle w:val="VerbatimChar"/>
        </w:rPr>
        <w:t xml:space="preserve">ctx_cell_selection.py</w:t>
      </w:r>
      <w:r>
        <w:t xml:space="preserve">; extraction</w:t>
      </w:r>
      <w:r>
        <w:t xml:space="preserve"> </w:t>
      </w:r>
      <w:r>
        <w:rPr>
          <w:rStyle w:val="VerbatimChar"/>
        </w:rPr>
        <w:t xml:space="preserve">ctx_extract_maxtoki.py</w:t>
      </w:r>
      <w:r>
        <w:t xml:space="preserve">,</w:t>
      </w:r>
      <w:r>
        <w:t xml:space="preserve"> </w:t>
      </w:r>
      <w:r>
        <w:rPr>
          <w:rStyle w:val="VerbatimChar"/>
        </w:rPr>
        <w:t xml:space="preserve">ctx_extract_scgpt_std.py</w:t>
      </w:r>
      <w:r>
        <w:t xml:space="preserve">,</w:t>
      </w:r>
      <w:r>
        <w:t xml:space="preserve"> </w:t>
      </w:r>
      <w:r>
        <w:rPr>
          <w:rStyle w:val="VerbatimChar"/>
        </w:rPr>
        <w:t xml:space="preserve">ctx_extract_state_std.py</w:t>
      </w:r>
      <w:r>
        <w:t xml:space="preserve">,</w:t>
      </w:r>
      <w:r>
        <w:t xml:space="preserve"> </w:t>
      </w:r>
      <w:r>
        <w:rPr>
          <w:rStyle w:val="VerbatimChar"/>
        </w:rPr>
        <w:t xml:space="preserve">ctx_extract_devel.py</w:t>
      </w:r>
      <w:r>
        <w:t xml:space="preserve">,</w:t>
      </w:r>
      <w:r>
        <w:t xml:space="preserve"> </w:t>
      </w:r>
      <w:r>
        <w:rPr>
          <w:rStyle w:val="VerbatimChar"/>
        </w:rPr>
        <w:t xml:space="preserve">ctx_extract_random.py</w:t>
      </w:r>
      <w:r>
        <w:t xml:space="preserve"> </w:t>
      </w:r>
      <w:r>
        <w:t xml:space="preserve">and</w:t>
      </w:r>
      <w:r>
        <w:t xml:space="preserve"> </w:t>
      </w:r>
      <w:r>
        <w:rPr>
          <w:rStyle w:val="VerbatimChar"/>
        </w:rPr>
        <w:t xml:space="preserve">ctx_extract_expression.py</w:t>
      </w:r>
      <w:r>
        <w:t xml:space="preserve">; run configuration for any extraction</w:t>
      </w:r>
      <w:r>
        <w:t xml:space="preserve"> </w:t>
      </w:r>
      <w:r>
        <w:rPr>
          <w:rStyle w:val="VerbatimChar"/>
        </w:rPr>
        <w:t xml:space="preserve">ctx_prefix.py</w:t>
      </w:r>
      <w:r>
        <w:t xml:space="preserve">; shared code</w:t>
      </w:r>
      <w:r>
        <w:t xml:space="preserve"> </w:t>
      </w:r>
      <w:r>
        <w:rPr>
          <w:rStyle w:val="VerbatimChar"/>
        </w:rPr>
        <w:t xml:space="preserve">ctx_coexpr_null.py</w:t>
      </w:r>
      <w:r>
        <w:t xml:space="preserve"> </w:t>
      </w:r>
      <w:r>
        <w:t xml:space="preserve">(only its co-expression matrix function is used; run on its own it gives an older null with the wrong pole sizes, which</w:t>
      </w:r>
      <w:r>
        <w:t xml:space="preserve"> </w:t>
      </w:r>
      <w:r>
        <w:rPr>
          <w:rStyle w:val="VerbatimChar"/>
        </w:rPr>
        <w:t xml:space="preserve">ctx_coexpr_null_v2.py</w:t>
      </w:r>
      <w:r>
        <w:t xml:space="preserve"> </w:t>
      </w:r>
      <w:r>
        <w:t xml:space="preserve">and</w:t>
      </w:r>
      <w:r>
        <w:t xml:space="preserve"> </w:t>
      </w:r>
      <w:r>
        <w:rPr>
          <w:rStyle w:val="VerbatimChar"/>
        </w:rPr>
        <w:t xml:space="preserve">ctx_coexpr_null_v3.py</w:t>
      </w:r>
      <w:r>
        <w:t xml:space="preserve"> </w:t>
      </w:r>
      <w:r>
        <w:t xml:space="preserve">replace),</w:t>
      </w:r>
      <w:r>
        <w:t xml:space="preserve"> </w:t>
      </w:r>
      <w:r>
        <w:rPr>
          <w:rStyle w:val="VerbatimChar"/>
        </w:rPr>
        <w:t xml:space="preserve">steer_lib.py</w:t>
      </w:r>
      <w:r>
        <w:t xml:space="preserve"> </w:t>
      </w:r>
      <w:r>
        <w:t xml:space="preserve">(steering and model outputs) and</w:t>
      </w:r>
      <w:r>
        <w:t xml:space="preserve"> </w:t>
      </w:r>
      <w:r>
        <w:rPr>
          <w:rStyle w:val="VerbatimChar"/>
        </w:rPr>
        <w:t xml:space="preserve">ctx_stats.py</w:t>
      </w:r>
      <w:r>
        <w:t xml:space="preserve"> </w:t>
      </w:r>
      <w:r>
        <w:t xml:space="preserve">(gene bootstrap);</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ctx_context_composition.py</w:t>
      </w:r>
      <w:r>
        <w:t xml:space="preserve"> </w:t>
      </w:r>
      <w:r>
        <w:t xml:space="preserve">(dataset, donor and assay of each cell type’s cells);</w:t>
      </w:r>
      <w:r>
        <w:t xml:space="preserve"> </w:t>
      </w:r>
      <w:r>
        <w:rPr>
          <w:rStyle w:val="VerbatimChar"/>
        </w:rPr>
        <w:t xml:space="preserve">ctx_expression_cellcounts.py</w:t>
      </w:r>
      <w:r>
        <w:t xml:space="preserve"> </w:t>
      </w:r>
      <w:r>
        <w:t xml:space="preserve">(cells behind each expression-only vector);</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The cell-selection and extraction scripts save .npz files; the analysis scripts write</w:t>
      </w:r>
      <w:r>
        <w:t xml:space="preserve"> </w:t>
      </w:r>
      <w:r>
        <w:rPr>
          <w:rStyle w:val="VerbatimChar"/>
        </w:rPr>
        <w:t xml:space="preserve">results/ctx_*.json</w:t>
      </w:r>
      <w:r>
        <w:t xml:space="preserve">, from which every number and table is taken, and</w:t>
      </w:r>
      <w:r>
        <w:t xml:space="preserve"> </w:t>
      </w:r>
      <w:r>
        <w:rPr>
          <w:rStyle w:val="VerbatimChar"/>
        </w:rPr>
        <w:t xml:space="preserve">ctx_figures.py</w:t>
      </w:r>
      <w:r>
        <w:t xml:space="preserve"> </w:t>
      </w:r>
      <w:r>
        <w:t xml:space="preserve">draws the figures from the same files. The runs used Python 3.12 with PyTorch 2.12.1, transformers 5.13.0 and NumPy 2.4 on Apple-silicon hardware.</w:t>
      </w:r>
    </w:p>
    <w:bookmarkEnd w:id="22"/>
    <w:bookmarkStart w:id="23" w:name="use-of-large-language-models"/>
    <w:p>
      <w:pPr>
        <w:pStyle w:val="Heading2"/>
      </w:pPr>
      <w:r>
        <w:t xml:space="preserve">Use of large language models</w:t>
      </w:r>
    </w:p>
    <w:p>
      <w:pPr>
        <w:pStyle w:val="FirstParagraph"/>
      </w:pPr>
      <w:r>
        <w:t xml:space="preserve">An artificial intelligence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3"/>
    <w:bookmarkEnd w:id="24"/>
    <w:bookmarkStart w:id="35" w:name="results"/>
    <w:p>
      <w:pPr>
        <w:pStyle w:val="Heading1"/>
      </w:pPr>
      <w:r>
        <w:t xml:space="preserve">Results</w:t>
      </w:r>
    </w:p>
    <w:p>
      <w:pPr>
        <w:pStyle w:val="FirstParagraph"/>
      </w:pPr>
      <w:r>
        <w:t xml:space="preserve">The first sections use the main MaxToki-217M extraction (1000 cells per cell type) unless a model is named; later sections compare all models on the same 600 cells per cell type. For Level 1, we show that contextualisation is real, is not explained by rank position and replicates on a second dataset, and that the nuclear/surface direction is read by the model when pushed, although not every functional direction is. Two later sections show that contextualisation is partly learned and weakly linked to prediction. For Level 2, we compare the functional organisation with co-expression nulls and with representations built from expression alone, and run two direct tests for context-specific gene function.</w:t>
      </w:r>
    </w:p>
    <w:bookmarkStart w:id="25" w:name="X3a4263f990384ddd41a5a355d46fcf5108040a0"/>
    <w:p>
      <w:pPr>
        <w:pStyle w:val="Heading2"/>
      </w:pPr>
      <w:r>
        <w:t xml:space="preserve">Genes are contextualised gene-specifically; in MaxToki-217M most reproducibly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gives exactly 0.000, as expected: a gene has the same embedding in every cell, so it has no shift to measure. The control that tests the statistic itself is the different-gene agreement (+0.001). The full depth scan shows where the response arises: it is highest at layer 1 (+0.847) and layer 2 (+0.835) and then falls to +0.651 at layer 11 (Fig. 1). The gene-specific shift is therefore already present after the first transformer layer and is most reproducible at layers 1 and 2. EXCESS is a cosine, so it measures how reproducible the direction of the shift is, not how far a gene moves.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After per-dimension z-scoring, which brings anisotropy to about 0.00, same-gene self-similarity across cell types falls with depth: +0.88, +0.65 and +0.61 at layers 4, 8 and 11 (raw, uncorrected: +0.92, +0.85 and +0.69). So genes move more between cell types in upper layers, as Ethayarajh found in language models. Simply subtracting the raw anisotropy baseline gives +0.62, +0.24 and +0.48 instead. This series dips at layer 8, where raw anisotropy peaks, so the layer-8 value mostly reflects the baseline. We z-score each dimension before every cosine-based measure (Methods), because a few dominant dimensions can drive raw cosines and one subtraction does not remove them</w:t>
      </w:r>
      <w:r>
        <w:t xml:space="preserve"> </w:t>
      </w:r>
      <w:r>
        <w:t xml:space="preserve">[13]</w:t>
      </w:r>
      <w:r>
        <w:t xml:space="preserve">. With all three versions, self-similarity is higher at layer 4 than at layer 11. Together with the EXCESS profile, this means that upper layers move genes more but less reproducibly. After z-scoring, the first principal component carries only 0.07 of the variance at layer 11, so no single direction dominates the cosines.</w:t>
      </w:r>
    </w:p>
    <w:bookmarkEnd w:id="25"/>
    <w:bookmarkStart w:id="26" w:name="X63fea3b8bc6b4e3cfb98784091bd4f31f60474c"/>
    <w:p>
      <w:pPr>
        <w:pStyle w:val="Heading2"/>
      </w:pPr>
      <w:r>
        <w:t xml:space="preserve">The effect is not explained by the gene’s rank position</w:t>
      </w:r>
    </w:p>
    <w:p>
      <w:pPr>
        <w:pStyle w:val="FirstParagraph"/>
      </w:pPr>
      <w:r>
        <w:t xml:space="preserve">MaxToki reads a cell as a rank-ordered gene list and encodes token position, so a gene ranking 5th in one cell type and 500th in another is an obvious confound. Three checks show that rank does not drive the gene-specific shift (Fig. 2). At layer 4 the response is about the same for genes whose rank changes less than the median (+0.749; median change 27 positions) and more than the median (+0.767; 107 positions). 99% of it survives a linear regression on the gene’s rank in each cell type and its rank change (+0.749), and 99% survives a regression that also allows curved effects of rank (+0.747); at layers 8 and 11, 98% and 97% survive the linear regression. And a gene’s shift agrees only a little with that of the gene closest to it in rank in both cell types (+0.058, against +0.759 for the same gene and +0.001 for a random gene). Measured against this rank-matched gene instead of a random one, EXCESS is still +0.701 at layer 4 (93% of the full value), and 90% and 88% at layers 8 and 11. So genes with the same ranks share only a small part of the shift. This part is an upper bound on what rank explains, because genes with the same ranks also tend to have similar expression levels. The size of a gene’s shift correlates only weakly with its rank change (ρ = 0.26 at layer 4 and 0.31 at layer 11). These checks cannot exclude every way in which position could enter a causal model.</w:t>
      </w:r>
    </w:p>
    <w:bookmarkEnd w:id="26"/>
    <w:bookmarkStart w:id="27" w:name="X20af64bc74e25b18abf512812873f7eac3ce416"/>
    <w:p>
      <w:pPr>
        <w:pStyle w:val="Heading2"/>
      </w:pPr>
      <w:r>
        <w:t xml:space="preserve">The effect replicates on an independent dataset</w:t>
      </w:r>
    </w:p>
    <w:p>
      <w:pPr>
        <w:pStyle w:val="FirstParagraph"/>
      </w:pPr>
      <w:r>
        <w:t xml:space="preserve">In MaxToki-217M, on the Setty CD34+ bone-marrow data, with nine differentiation clusters rather than mature cell types as contexts, the phenomenon replicates: EXCESS is +0.713 at layer 2 and +0.713 at layer 4 (gene-shuffled null +0.0036 and +0.0039), and functional-z (without the rank regression, against random axes only; Methods) is +5.0 and +5.0 for the nuclear/surface axis and +16.1 and +8.8 for the mitochondrion/cytoskeleton axis. We did not run the rank control, the co-expression nulls or the Level 2 tests on these data. Using spliced counts only gives the same picture (EXCESS +0.702 and nuclear/surface functional-z +9.3 at layer 4). Neither the contextualisation nor its organisation along these two axes is specific to Tabula Sapiens or to mature cell types.</w:t>
      </w:r>
    </w:p>
    <w:bookmarkEnd w:id="27"/>
    <w:bookmarkStart w:id="28" w:name="X3a28cca580fc67e2b483e43eec80076f11bca00"/>
    <w:p>
      <w:pPr>
        <w:pStyle w:val="Heading2"/>
      </w:pPr>
      <w:r>
        <w:t xml:space="preserve">Context moves genes along functional axes, but not significantly more than along gene sets matched on co-expression</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Along the nuclear/surface axis, lymphocytes sit at the nuclear end (CD8 T +4.7, CD4 T +4.4, B +3.9) and alveolar epithelial cells and macrophages at the surface end (alveolar type 1 −3.6, type 2 −3.2, macrophage −2.8). Each cell type is scored on its own set of expressed genes, so this order may mostly show which genes each cell type expresses, not how context moves the same genes (Methods).</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At layer 4,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We also kept pole size fixed and changed what share of each pole came from the genes most co-expressed with a seed gene. Null power rose steadily with that share. None of the 50 null axes with 0–10% such genes reached the nuclear/surface power (0.50), but 22 of 25 axes made only of such genes did. No single step matches both functional poles. The nuclear pole’s co-expression (0.028) is close to that of the 10% step (0.027), where 0 of 25 null axes reached the functional power; the surface pole’s (0.042) is close to that of the 35% step (0.043), where 10 of 25 did. The matched null, which matches each pole separately, puts the axis inside the null (p = 0.316).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at layer 4, the functional organisation is not significantly stronger than that of gene sets with the same size and average co-expression. This test can detect only large differences: all three axes sit above the matched-null mean, and an axis would need about 1.7–1.8 times the null mean to reach p &lt; 0.05. We ran the co-expression nulls at layer 4 only, not at layers 8 and 11.</w:t>
      </w:r>
    </w:p>
    <w:bookmarkEnd w:id="28"/>
    <w:bookmarkStart w:id="29" w:name="X5fe35b508b0cedca654d044859d1ad7418957ec"/>
    <w:p>
      <w:pPr>
        <w:pStyle w:val="Heading2"/>
      </w:pPr>
      <w:r>
        <w:t xml:space="preserve">Expression alone gives a gene-specific change, but not its organisation</w:t>
      </w:r>
    </w:p>
    <w:p>
      <w:pPr>
        <w:pStyle w:val="FirstParagraph"/>
      </w:pPr>
      <w:r>
        <w:t xml:space="preserve">The nulls above ask whether functional gene sets are special among gene sets with the same co-expression, inside the model. A different question is whether a representation built only from expression shows the same contextualisation and organisation. On the same 600 cells per cell type, we compared MaxToki-217M (layer 4) with three expression-only representations (Methods). The landmark and principal-component versions use correlations within one cell type; the centroid version places each gene where it is expressed in a cell space built from all cells pooled. All three change with cell type in a gene-specific way (EXCESS +0.427, +0.218 and +0.321, against +0.738 for MaxToki-217M on the same cells), and 99% of the centroid version’s change survives the rank regression. So a reproducible, gene-specific change between cell types does not need a model: part of it follows from where each gene is expressed within each cell type. EXCESS depends on how many cells each vector averages. With all expressing cells instead of 50, the centroid version reaches +0.605, and the two correlation versions use all 300 cells of each half. These values should therefore not be ranked against the models’ (Methods). But none of the three is clearly organised along the functional axes. Rank-controlled functional-z is −1.4, +1.8 and +1.4 (landmarks), +0.6, +0.4 and +0.8 (principal components) and −0.3, −2.1 and +0.5 (centroids), against +16.7, +7.5 and +5.0 in MaxToki-217M (Table 3).</w:t>
      </w:r>
    </w:p>
    <w:p>
      <w:pPr>
        <w:pStyle w:val="BodyText"/>
      </w:pPr>
      <w:r>
        <w:t xml:space="preserve">The difference also shows in how co-expressed gene sets behave. We express each null’s power as a multiple of the power of random poles in the same representation. In MaxToki-217M, sets matched on co-expression reach 1.8–6.0 times random, modules of strongly co-expressed genes 5.6–10.1 times, and poles made only of genes co-expressed with a seed gene 6.1–9.8 times. The other models behave the same way: strong modules reach 5.0–8.9 times random in MaxToki-1B, 3.3–4.2 times in scGPT and 12.5–18.0 times in STATE. The expression-only versions do not. The two within-cell-type versions barely respond to co-expression. Matched sets reach 1.4–1.6 times random with landmarks and 1.3–1.4 times with principal components, and strong modules about the same (1.4–1.5 and 1.5 times). In the centroid version, co-expressed sets do no better than random sets: strong modules reach 0.9–1.0 times random, and poles made only of co-expressed genes 0.9 times. So in every model, context moves genes much more along directions that separate co-expressed gene sets than along random directions, and in none of the three expression-only versions does it. This holds for co-expressed sets in general, not for functional sets in particular. It does not show that the models add information beyond co-expression: other expression-only constructions might come closer (Limitations).</w:t>
      </w:r>
    </w:p>
    <w:bookmarkEnd w:id="29"/>
    <w:bookmarkStart w:id="30"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relative to surface-gene logits for a push toward the nuclear pole (specificity +0.085) and fall relative to them for a push toward the surface pole (−0.097), a signed swing of +0.182. A random direction of the same norm, drawn fresh for each cell, gives +0.001 on average, near zero by design. The swing is +0.079, +0.182, +0.184 at strengths 0.25, 0.5 and 1.0, so it stops growing above 0.5. At 0.5 it exceeds the random swing in 22 of 30 cells (p = 0.0081; Bonferroni-adjusted 0.032); at 1.0 in 20 of 30 cells (p = 0.049; Bonferroni-adjusted 0.20). The effect is stronger at the layer-8 representation (swing +0.232, 30 of 30 cells, p = 9.3 × 10</w:t>
      </w:r>
      <w:r>
        <w:rPr>
          <w:vertAlign w:val="superscript"/>
        </w:rPr>
        <w:t xml:space="preserve">−10</w:t>
      </w:r>
      <w:r>
        <w:t xml:space="preserve">). Against 30 fixed random splits of the same pole genes, built like the axis, the layer-4 swing is larger than 30 of 30 of them (0 of 30 at least as large; p = 1/31,</w:t>
      </w:r>
      <w:r>
        <w:t xml:space="preserve"> </w:t>
      </w:r>
      <w:r>
        <w:rPr>
          <w:i/>
          <w:iCs/>
        </w:rPr>
        <w:t xml:space="preserve">z</w:t>
      </w:r>
      <w:r>
        <w:t xml:space="preserve"> </w:t>
      </w:r>
      <w:r>
        <w:t xml:space="preserve">= +2.6) and the layer-8 swing larger than 30 of 30 (0 of 30; p = 1/31,</w:t>
      </w:r>
      <w:r>
        <w:t xml:space="preserve"> </w:t>
      </w:r>
      <w:r>
        <w:rPr>
          <w:i/>
          <w:iCs/>
        </w:rPr>
        <w:t xml:space="preserve">z</w:t>
      </w:r>
      <w:r>
        <w:t xml:space="preserve"> </w:t>
      </w:r>
      <w:r>
        <w:t xml:space="preserve">= +6.1). The direction therefore propagates through attention and changes the model’s predictions, more than directions built from random groups of the same genes.</w:t>
      </w:r>
    </w:p>
    <w:p>
      <w:pPr>
        <w:pStyle w:val="BodyText"/>
      </w:pPr>
      <w:r>
        <w:t xml:space="preserve">This does not generalise to every functional axis. The mitochondrion/cytoskeleton direction has no significant effect at strengths 0.25 and 0.5 (swing +0.024 and +0.067; above the random swing in 17 of 30 and 15 of 30 cells, p = 0.29 and 0.57). At strength 1.0 its swing is +0.269, above the random swing in 20 of 30 cells (p = 0.049, Bonferroni-adjusted 0.20). The split control was run only at strength 0.5. There the swing is not distinct from the random splits (18 of 30 splits at least as large; p = 0.613). The strength-1.0 swing was not compared with the splits. The transcription/transport direction has a reversed effect that grows with strength (swing −0.139, −0.268, −0.678). At strength 0.5 the functional swing exceeds the random one in only 2 of 30 cells (two-sided sign test p = 8.7 × 10</w:t>
      </w:r>
      <w:r>
        <w:rPr>
          <w:vertAlign w:val="superscript"/>
        </w:rPr>
        <w:t xml:space="preserve">−7</w:t>
      </w:r>
      <w:r>
        <w:t xml:space="preserve">; 2 of 30 at 0.25 and 0 of 30 at 1.0). At 0.5 its size also exceeds that of 30 of 30 random splits, but in the reverse direction. We have no explanation for the reversal; it shows that an axis that separates genes is not automatically read in the expected direction. The pushes are also large compared with natural variation. Across cell types, a gene’s projection on the nuclear/surface direction has a median range of 2.62 (95th percentile 4.57). The middle push (7.6 units) is about 3 times that median range, and the largest (15.2 units) about 6 times. The smallest push (3.8 units) is about 1.4 times the median range, below the 95th-percentile range. It already gives a swing of +0.079, above the random direction in 23 of 30 cells (p = 0.0026; Bonferroni-adjusted 0.010); it was not tested against the random splits. Even this push moves half of a cell’s genes along the axis at once, which natural context does not do. The test therefore shows that the model can read this axis, not that the natural, context-driven changes along it are used.</w:t>
      </w:r>
    </w:p>
    <w:p>
      <w:pPr>
        <w:pStyle w:val="BodyText"/>
      </w:pPr>
      <w:r>
        <w:t xml:space="preserve">The nuclear/surface result holds in MaxToki-1B. On the 600-cell extractions at matched relative depth, with the push scaled to the part of the residual that differs between genes, the swing at strength 0.5 is +0.212 in MaxToki-217M and +0.205 in MaxToki-1B. It exceeds a random direction in 25 of 30 and 30 of 30 cells (p = 1.6 × 10</w:t>
      </w:r>
      <w:r>
        <w:rPr>
          <w:vertAlign w:val="superscript"/>
        </w:rPr>
        <w:t xml:space="preserve">−4</w:t>
      </w:r>
      <w:r>
        <w:t xml:space="preserve"> </w:t>
      </w:r>
      <w:r>
        <w:t xml:space="preserve">and 9.3 × 10</w:t>
      </w:r>
      <w:r>
        <w:rPr>
          <w:vertAlign w:val="superscript"/>
        </w:rPr>
        <w:t xml:space="preserve">−10</w:t>
      </w:r>
      <w:r>
        <w:t xml:space="preserve">). Against 30 random splits, 0 of 30 and 0 of 30 are at least as large (mean absolute split swing 0.067 and 0.047; p = 1/31 and 1/31,</w:t>
      </w:r>
      <w:r>
        <w:t xml:space="preserve"> </w:t>
      </w:r>
      <w:r>
        <w:rPr>
          <w:i/>
          <w:iCs/>
        </w:rPr>
        <w:t xml:space="preserve">z</w:t>
      </w:r>
      <w:r>
        <w:t xml:space="preserve"> </w:t>
      </w:r>
      <w:r>
        <w:t xml:space="preserve">= +3.6 and +4.2). In MaxToki-1B, 52% of the axis lies in the two very large hidden dimensions. With those coordinates set to zero, the swing is +0.324 (0 of 30 splits at least as large;</w:t>
      </w:r>
      <w:r>
        <w:t xml:space="preserve"> </w:t>
      </w:r>
      <w:r>
        <w:rPr>
          <w:i/>
          <w:iCs/>
        </w:rPr>
        <w:t xml:space="preserve">z</w:t>
      </w:r>
      <w:r>
        <w:t xml:space="preserve"> </w:t>
      </w:r>
      <w:r>
        <w:t xml:space="preserve">= +6.3), so they do not carry the effect. In MaxToki-217M, which has no such very large dimensions, only 13% of the axis lies in its own two largest dimensions. Even so, with them set to zero the swing falls from +0.212 to +0.131 (splits at least as large: 1 of 30; p = 0.065,</w:t>
      </w:r>
      <w:r>
        <w:t xml:space="preserve"> </w:t>
      </w:r>
      <w:r>
        <w:rPr>
          <w:i/>
          <w:iCs/>
        </w:rPr>
        <w:t xml:space="preserve">z</w:t>
      </w:r>
      <w:r>
        <w:t xml:space="preserve"> </w:t>
      </w:r>
      <w:r>
        <w:t xml:space="preserve">= +1.9), so the swing is no longer clearly above the splits. In this model part of the effect goes through its two largest dimensions. The other two axes behave differently in the two sizes. In MaxToki-1B both are read in the expected direction: the swing is +0.400 for mitochondrion/cytoskeleton (</w:t>
      </w:r>
      <w:r>
        <w:rPr>
          <w:i/>
          <w:iCs/>
        </w:rPr>
        <w:t xml:space="preserve">z</w:t>
      </w:r>
      <w:r>
        <w:t xml:space="preserve"> </w:t>
      </w:r>
      <w:r>
        <w:t xml:space="preserve">= +4.7 against the splits) and +0.111 for transcription/transport (</w:t>
      </w:r>
      <w:r>
        <w:rPr>
          <w:i/>
          <w:iCs/>
        </w:rPr>
        <w:t xml:space="preserve">z</w:t>
      </w:r>
      <w:r>
        <w:t xml:space="preserve"> </w:t>
      </w:r>
      <w:r>
        <w:t xml:space="preserve">= +4.6). In MaxToki-217M the transcription/transport direction is again read in reverse (−0.242), and the mitochondrion/cytoskeleton swing (+0.168) is not distinct from the random splits (7 of 30 at least as large; p = 0.258). So only the nuclear/surface direction is read as expected in both sizes and both extractions; in the larger model all three directions are.</w:t>
      </w:r>
    </w:p>
    <w:bookmarkEnd w:id="30"/>
    <w:bookmarkStart w:id="31"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asks whether genes move toward their own functional pole in the cell types that lean toward that pole (β, Methods). For no axis was β significantly larger than for null axes matched on size and co-expression. At layer 4, β is +0.16, +0.10 and +0.23 for the three axes, all positive but within the upper tail of size- and co-expression-matched null axes, whose means are near zero (p = 0.116, 0.086 and 0.053; none significant after Holm correction over 6 tests; at layer 8, β is −0.16, −0.11 and +0.09). So at layer 4 the trend points the expected way but is not significant;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Compared with the targets of the other TFs tested, a TF is only slightly closer to its own targets (+0.008; 17 of 26 TFs positive; p = 0.084), so the closeness is not shown to be specific to each TF’s own targets; much of it may reflect where regulators and their usual targets sit in general. The closeness does not rise significantly in the cell types where the targets are more active (mean ρ = +0.084; 15 of 26 TFs positive; p = 0.28, Bonferroni-adjusted 1.00); the trend is positive but weak, and each TF’s ρ rests on as few as 3 cell types. At layer 8 neither effect is significant (static p = 0.423; modulation ρ = +0.097, p = 0.28). We did not run an untrained model on these cells. On the 600-cell extraction only 11 TFs qualify (Table 4). There the closeness is smaller and not significant (+0.011; 8 of 11 TFs positive; p = 0.113). The untrained MaxToki-217M gives a mean no smaller (+0.030), but only 6 of 11 TFs are positive (p = 0.500). That 11-TF test has little power, so we cannot say whether the closeness is learned, or whether it holds beyond these 26 TFs. A third attempt, on 14 lineage TFs, is uninformative rather than negative. The test needs a gene to be count-balanced in at least 9 of the 12 cell types. 10 of the 14 TFs are in the 6000-gene panel, but only 1 (RUNX1) met that bar. These regulators are weakly expressed, or are expressed in only a few of the cell types we used.</w:t>
      </w:r>
    </w:p>
    <w:bookmarkEnd w:id="31"/>
    <w:bookmarkStart w:id="32" w:name="Xed54e5ca156b1dd8969f82c0359555479b2c454"/>
    <w:p>
      <w:pPr>
        <w:pStyle w:val="Heading2"/>
      </w:pPr>
      <w:r>
        <w:t xml:space="preserve">MaxToki-1B, scGPT and STATE also contextualise genes, but show no context-specific gene function beyond co-expression</w:t>
      </w:r>
    </w:p>
    <w:p>
      <w:pPr>
        <w:pStyle w:val="FirstParagraph"/>
      </w:pPr>
      <w:r>
        <w:t xml:space="preserve">We ran the full set of controls and both Level 2 tests on every trained model and expression-only representation of the same 600 cells per cell type (Table 3, Table 4). Three results hold in every model ((1), (3) and (4) below), one holds only in some models ((2)), and one holds only in MaxToki-217M ((5)). (1) Every model contextualises genes strongly and gene-specifically (EXCESS +0.738, +0.764, +0.813 and +0.867 for MaxToki-217M, MaxToki-1B, scGPT and STATE), and almost all of it survives the rank regression (99%, 99%, 98% and 99%). (2) Organisation beyond random axes holds only partly. The MaxToki models organise the change along all three functional axes beyond random axes (rank-controlled functional-z for the nuclear/surface axis +16.7 and +8.0), whichever abundance covariate is used (+16.8 and +7.8 with mean expression). STATE does so too (+5.5, +9.8 and +4.0). But when the gene’s mean expression is the covariate, STATE’s nuclear/surface organisation disappears (+0.2). Its other two axes remain (+7.0 and +3.3). STATE and scGPT receive each gene’s expression level as input; MaxToki receives only the genes’ rank order. scGPT organises the change only weakly (+1.4, +2.3 and +3.5). (3) In no representation does any functional axis significantly exceed gene sets matched on size and co-expression (smallest p = 0.07, 0.19, 0.23 and 0.32), or modules of strongly co-expressed genes. (4) No model shows context-specific gene function. Directional congruence is not significant after correction in any of the four models, and in none does a TF’s closeness to its curated targets rise in the cell types where those targets are active. Expression alone can pass, or nearly pass, each test. In the centroid version we use, the closeness rises with target activity (mean ρ = +0.214; 9 of 11 TFs positive; p = 0.03, not corrected; 0.10 after Bonferroni over the three curated-target questions). Its build with all expressing cells, which we report only as a check, passes the directional test on the transcription/transport axis (β = +0.11, p = 0.007, significant after Holm correction over 3 tests), where its matched null is narrow (standard deviation 0.05, against 0.11–0.16 in MaxToki-217M); the build we use does not (p = 0.113). So a pass on either test would not by itself show gene function beyond expression. One static signal appears: STATE places TFs closer to their curated targets than to co-expression-matched non-targets (24 TFs, mean cosine excess +0.099, p = 7.7 × 10</w:t>
      </w:r>
      <w:r>
        <w:rPr>
          <w:vertAlign w:val="superscript"/>
        </w:rPr>
        <w:t xml:space="preserve">−4</w:t>
      </w:r>
      <w:r>
        <w:t xml:space="preserve">). Compared with the targets of the other TFs tested, a STATE TF is slightly closer to its own targets (+0.047; 17 of 24 TFs positive; p = 0.032, not corrected; 0.096 after Bonferroni over the three curated-target questions). So we cannot say that the closeness is specific to each TF’s own targets. The untrained STATE, which uses the same fixed protein-embedding gene table as the trained model, shows the same closeness (+0.132, p = 1.4 × 10</w:t>
      </w:r>
      <w:r>
        <w:rPr>
          <w:vertAlign w:val="superscript"/>
        </w:rPr>
        <w:t xml:space="preserve">−4</w:t>
      </w:r>
      <w:r>
        <w:t xml:space="preserve">) and is about as specific to each TF’s own targets (+0.040; 17 of 24 TFs positive; p = 0.032). Untrained scGPT and MaxToki-217M show no significant closeness (−0.008, p = 0.895; +0.030, with 6 of 11 TFs positive, p = 0.500; this 11-TF test has little power). So STATE’s closeness does not come from training on expression. It most likely comes from the protein-sequence embeddings; we did not run STATE with a random gene table, which would test this directly. scGPT shows a different pattern. Its TFs are not closer to their targets than to co-expression-matched non-targets (+0.026; p = 0.402). But they are closer to their own targets than to the targets of the other TFs tested (+0.070; 13 of 16 TFs positive; p = 0.011, not corrected; p = 0.011 at layer 2), and untrained scGPT is not (−0.005; p = 0.962). This comparison is not matched on co-expression, so the scGPT result most likely reflects co-expression between a TF and its targets, learned in training, rather than a signal beyond co-expression. (5) Only MaxToki-217M passes the tightness control. It clearly exceeds gene sets matched on size and representation tightness on two of its three axes (p = 1/301 for nuclear/surface and 1/301 for transcription/transport; mitochondrion/cytoskeleton p = 0.053). MaxToki-1B reaches p = 0.033 on one axis (transcription/transport); this p is not corrected and does not survive a Holm correction over the model’s three axes (0.10). scGPT and STATE exceed the null on no axis (Table 3). So only in MaxToki-217M is the organisation clearly not a by-product of compact gene sets.</w:t>
      </w:r>
    </w:p>
    <w:p>
      <w:pPr>
        <w:pStyle w:val="TableCaption"/>
      </w:pPr>
      <w:r>
        <w:rPr>
          <w:b/>
          <w:bCs/>
        </w:rPr>
        <w:t xml:space="preserve">Table 3.</w:t>
      </w:r>
      <w:r>
        <w:t xml:space="preserve"> </w:t>
      </w:r>
      <w:r>
        <w:t xml:space="preserve">Functional organisation and its controls in every representation, on the same cells</w:t>
      </w:r>
    </w:p>
    <w:tbl>
      <w:tblPr>
        <w:tblStyle w:val="Table"/>
        <w:tblW w:type="pct" w:w="5000"/>
        <w:tblLayout w:type="fixed"/>
        <w:tblLook w:firstRow="1" w:lastRow="0" w:firstColumn="0" w:lastColumn="0" w:noHBand="0" w:noVBand="0" w:val="0020"/>
        <w:tblCaption w:val="Table 3. Functional organisation and its controls in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EXCESS</w:t>
            </w:r>
          </w:p>
        </w:tc>
        <w:tc>
          <w:tcPr/>
          <w:p>
            <w:pPr>
              <w:pStyle w:val="Compact"/>
              <w:spacing w:line="240" w:lineRule="auto"/>
            </w:pPr>
            <w:r>
              <w:rPr>
                <w:sz w:val="20"/>
              </w:rPr>
              <w:t xml:space="preserve">Kept after rank regression</w:t>
            </w:r>
          </w:p>
        </w:tc>
        <w:tc>
          <w:tcPr/>
          <w:p>
            <w:pPr>
              <w:pStyle w:val="Compact"/>
              <w:spacing w:line="240" w:lineRule="auto"/>
            </w:pPr>
            <w:r>
              <w:rPr>
                <w:sz w:val="20"/>
              </w:rPr>
              <w:t xml:space="preserve">Functional-z, rank-controlled</w:t>
            </w:r>
          </w:p>
        </w:tc>
        <w:tc>
          <w:tcPr/>
          <w:p>
            <w:pPr>
              <w:pStyle w:val="Compact"/>
              <w:spacing w:line="240" w:lineRule="auto"/>
            </w:pPr>
            <w:r>
              <w:rPr>
                <w:sz w:val="20"/>
              </w:rPr>
              <w:t xml:space="preserve">p, random axes</w:t>
            </w:r>
          </w:p>
        </w:tc>
        <w:tc>
          <w:tcPr/>
          <w:p>
            <w:pPr>
              <w:pStyle w:val="Compact"/>
              <w:spacing w:line="240" w:lineRule="auto"/>
            </w:pPr>
            <w:r>
              <w:rPr>
                <w:sz w:val="20"/>
              </w:rPr>
              <w:t xml:space="preserve">p, matched co-expression</w:t>
            </w:r>
          </w:p>
        </w:tc>
        <w:tc>
          <w:tcPr/>
          <w:p>
            <w:pPr>
              <w:pStyle w:val="Compact"/>
              <w:spacing w:line="240" w:lineRule="auto"/>
            </w:pPr>
            <w:r>
              <w:rPr>
                <w:sz w:val="20"/>
              </w:rPr>
              <w:t xml:space="preserve">p, strong co-expression modules</w:t>
            </w:r>
          </w:p>
        </w:tc>
        <w:tc>
          <w:tcPr/>
          <w:p>
            <w:pPr>
              <w:pStyle w:val="Compact"/>
              <w:spacing w:line="240" w:lineRule="auto"/>
            </w:pPr>
            <w:r>
              <w:rPr>
                <w:sz w:val="20"/>
              </w:rPr>
              <w:t xml:space="preserve">p, matched tightness</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+0.738</w:t>
            </w:r>
          </w:p>
        </w:tc>
        <w:tc>
          <w:tcPr/>
          <w:p>
            <w:pPr>
              <w:pStyle w:val="Compact"/>
              <w:spacing w:line="240" w:lineRule="auto"/>
            </w:pPr>
            <w:r>
              <w:rPr>
                <w:sz w:val="20"/>
              </w:rPr>
              <w:t xml:space="preserve">99%</w:t>
            </w:r>
          </w:p>
        </w:tc>
        <w:tc>
          <w:tcPr/>
          <w:p>
            <w:pPr>
              <w:pStyle w:val="Compact"/>
              <w:spacing w:line="240" w:lineRule="auto"/>
            </w:pPr>
            <w:r>
              <w:rPr>
                <w:sz w:val="20"/>
              </w:rPr>
              <w:t xml:space="preserve">+16.7 / +7.5 / +5.0</w:t>
            </w:r>
          </w:p>
        </w:tc>
        <w:tc>
          <w:tcPr/>
          <w:p>
            <w:pPr>
              <w:pStyle w:val="Compact"/>
              <w:spacing w:line="240" w:lineRule="auto"/>
            </w:pPr>
            <w:r>
              <w:rPr>
                <w:sz w:val="20"/>
              </w:rPr>
              <w:t xml:space="preserve">1/301 / 1/301 / 0.007</w:t>
            </w:r>
          </w:p>
        </w:tc>
        <w:tc>
          <w:tcPr/>
          <w:p>
            <w:pPr>
              <w:pStyle w:val="Compact"/>
              <w:spacing w:line="240" w:lineRule="auto"/>
            </w:pPr>
            <w:r>
              <w:rPr>
                <w:sz w:val="20"/>
              </w:rPr>
              <w:t xml:space="preserve">0.35 / 0.46 / 0.07</w:t>
            </w:r>
          </w:p>
        </w:tc>
        <w:tc>
          <w:tcPr/>
          <w:p>
            <w:pPr>
              <w:pStyle w:val="Compact"/>
              <w:spacing w:line="240" w:lineRule="auto"/>
            </w:pPr>
            <w:r>
              <w:rPr>
                <w:sz w:val="20"/>
              </w:rPr>
              <w:t xml:space="preserve">0.78 / 0.73 / 0.75</w:t>
            </w:r>
          </w:p>
        </w:tc>
        <w:tc>
          <w:tcPr/>
          <w:p>
            <w:pPr>
              <w:pStyle w:val="Compact"/>
              <w:spacing w:line="240" w:lineRule="auto"/>
            </w:pPr>
            <w:r>
              <w:rPr>
                <w:sz w:val="20"/>
              </w:rPr>
              <w:t xml:space="preserve">1/301 / 0.053 / 1/301</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+0.764</w:t>
            </w:r>
          </w:p>
        </w:tc>
        <w:tc>
          <w:tcPr/>
          <w:p>
            <w:pPr>
              <w:pStyle w:val="Compact"/>
              <w:spacing w:line="240" w:lineRule="auto"/>
            </w:pPr>
            <w:r>
              <w:rPr>
                <w:sz w:val="20"/>
              </w:rPr>
              <w:t xml:space="preserve">99%</w:t>
            </w:r>
          </w:p>
        </w:tc>
        <w:tc>
          <w:tcPr/>
          <w:p>
            <w:pPr>
              <w:pStyle w:val="Compact"/>
              <w:spacing w:line="240" w:lineRule="auto"/>
            </w:pPr>
            <w:r>
              <w:rPr>
                <w:sz w:val="20"/>
              </w:rPr>
              <w:t xml:space="preserve">+8.0 / +8.1 / +3.1</w:t>
            </w:r>
          </w:p>
        </w:tc>
        <w:tc>
          <w:tcPr/>
          <w:p>
            <w:pPr>
              <w:pStyle w:val="Compact"/>
              <w:spacing w:line="240" w:lineRule="auto"/>
            </w:pPr>
            <w:r>
              <w:rPr>
                <w:sz w:val="20"/>
              </w:rPr>
              <w:t xml:space="preserve">1/301 / 1/301 / 0.017</w:t>
            </w:r>
          </w:p>
        </w:tc>
        <w:tc>
          <w:tcPr/>
          <w:p>
            <w:pPr>
              <w:pStyle w:val="Compact"/>
              <w:spacing w:line="240" w:lineRule="auto"/>
            </w:pPr>
            <w:r>
              <w:rPr>
                <w:sz w:val="20"/>
              </w:rPr>
              <w:t xml:space="preserve">0.75 / 0.39 / 0.19</w:t>
            </w:r>
          </w:p>
        </w:tc>
        <w:tc>
          <w:tcPr/>
          <w:p>
            <w:pPr>
              <w:pStyle w:val="Compact"/>
              <w:spacing w:line="240" w:lineRule="auto"/>
            </w:pPr>
            <w:r>
              <w:rPr>
                <w:sz w:val="20"/>
              </w:rPr>
              <w:t xml:space="preserve">0.95 / 0.61 / 0.80</w:t>
            </w:r>
          </w:p>
        </w:tc>
        <w:tc>
          <w:tcPr/>
          <w:p>
            <w:pPr>
              <w:pStyle w:val="Compact"/>
              <w:spacing w:line="240" w:lineRule="auto"/>
            </w:pPr>
            <w:r>
              <w:rPr>
                <w:sz w:val="20"/>
              </w:rPr>
              <w:t xml:space="preserve">0.385 / 0.824 / 0.033</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+0.813</w:t>
            </w:r>
          </w:p>
        </w:tc>
        <w:tc>
          <w:tcPr/>
          <w:p>
            <w:pPr>
              <w:pStyle w:val="Compact"/>
              <w:spacing w:line="240" w:lineRule="auto"/>
            </w:pPr>
            <w:r>
              <w:rPr>
                <w:sz w:val="20"/>
              </w:rPr>
              <w:t xml:space="preserve">98%</w:t>
            </w:r>
          </w:p>
        </w:tc>
        <w:tc>
          <w:tcPr/>
          <w:p>
            <w:pPr>
              <w:pStyle w:val="Compact"/>
              <w:spacing w:line="240" w:lineRule="auto"/>
            </w:pPr>
            <w:r>
              <w:rPr>
                <w:sz w:val="20"/>
              </w:rPr>
              <w:t xml:space="preserve">+1.4 / +2.3 / +3.5</w:t>
            </w:r>
          </w:p>
        </w:tc>
        <w:tc>
          <w:tcPr/>
          <w:p>
            <w:pPr>
              <w:pStyle w:val="Compact"/>
              <w:spacing w:line="240" w:lineRule="auto"/>
            </w:pPr>
            <w:r>
              <w:rPr>
                <w:sz w:val="20"/>
              </w:rPr>
              <w:t xml:space="preserve">0.146 / 0.037 / 0.017</w:t>
            </w:r>
          </w:p>
        </w:tc>
        <w:tc>
          <w:tcPr/>
          <w:p>
            <w:pPr>
              <w:pStyle w:val="Compact"/>
              <w:spacing w:line="240" w:lineRule="auto"/>
            </w:pPr>
            <w:r>
              <w:rPr>
                <w:sz w:val="20"/>
              </w:rPr>
              <w:t xml:space="preserve">0.91 / 0.53 / 0.23</w:t>
            </w:r>
          </w:p>
        </w:tc>
        <w:tc>
          <w:tcPr/>
          <w:p>
            <w:pPr>
              <w:pStyle w:val="Compact"/>
              <w:spacing w:line="240" w:lineRule="auto"/>
            </w:pPr>
            <w:r>
              <w:rPr>
                <w:sz w:val="20"/>
              </w:rPr>
              <w:t xml:space="preserve">0.96 / 0.72 / 0.45</w:t>
            </w:r>
          </w:p>
        </w:tc>
        <w:tc>
          <w:tcPr/>
          <w:p>
            <w:pPr>
              <w:pStyle w:val="Compact"/>
              <w:spacing w:line="240" w:lineRule="auto"/>
            </w:pPr>
            <w:r>
              <w:rPr>
                <w:sz w:val="20"/>
              </w:rPr>
              <w:t xml:space="preserve">0.674 / 0.316 / 0.146</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+0.867</w:t>
            </w:r>
          </w:p>
        </w:tc>
        <w:tc>
          <w:tcPr/>
          <w:p>
            <w:pPr>
              <w:pStyle w:val="Compact"/>
              <w:spacing w:line="240" w:lineRule="auto"/>
            </w:pPr>
            <w:r>
              <w:rPr>
                <w:sz w:val="20"/>
              </w:rPr>
              <w:t xml:space="preserve">99%</w:t>
            </w:r>
          </w:p>
        </w:tc>
        <w:tc>
          <w:tcPr/>
          <w:p>
            <w:pPr>
              <w:pStyle w:val="Compact"/>
              <w:spacing w:line="240" w:lineRule="auto"/>
            </w:pPr>
            <w:r>
              <w:rPr>
                <w:sz w:val="20"/>
              </w:rPr>
              <w:t xml:space="preserve">+5.5 / +9.8 / +4.0</w:t>
            </w:r>
          </w:p>
        </w:tc>
        <w:tc>
          <w:tcPr/>
          <w:p>
            <w:pPr>
              <w:pStyle w:val="Compact"/>
              <w:spacing w:line="240" w:lineRule="auto"/>
            </w:pPr>
            <w:r>
              <w:rPr>
                <w:sz w:val="20"/>
              </w:rPr>
              <w:t xml:space="preserve">0.010 / 1/301 / 0.017</w:t>
            </w:r>
          </w:p>
        </w:tc>
        <w:tc>
          <w:tcPr/>
          <w:p>
            <w:pPr>
              <w:pStyle w:val="Compact"/>
              <w:spacing w:line="240" w:lineRule="auto"/>
            </w:pPr>
            <w:r>
              <w:rPr>
                <w:sz w:val="20"/>
              </w:rPr>
              <w:t xml:space="preserve">0.71 / 0.36 / 0.32</w:t>
            </w:r>
          </w:p>
        </w:tc>
        <w:tc>
          <w:tcPr/>
          <w:p>
            <w:pPr>
              <w:pStyle w:val="Compact"/>
              <w:spacing w:line="240" w:lineRule="auto"/>
            </w:pPr>
            <w:r>
              <w:rPr>
                <w:sz w:val="20"/>
              </w:rPr>
              <w:t xml:space="preserve">0.95 / 0.64 / 0.82</w:t>
            </w:r>
          </w:p>
        </w:tc>
        <w:tc>
          <w:tcPr/>
          <w:p>
            <w:pPr>
              <w:pStyle w:val="Compact"/>
              <w:spacing w:line="240" w:lineRule="auto"/>
            </w:pPr>
            <w:r>
              <w:rPr>
                <w:sz w:val="20"/>
              </w:rPr>
              <w:t xml:space="preserve">0.369 / 0.143 / 0.289</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+0.427</w:t>
            </w:r>
          </w:p>
        </w:tc>
        <w:tc>
          <w:tcPr/>
          <w:p>
            <w:pPr>
              <w:pStyle w:val="Compact"/>
              <w:spacing w:line="240" w:lineRule="auto"/>
            </w:pPr>
            <w:r>
              <w:rPr>
                <w:sz w:val="20"/>
              </w:rPr>
              <w:t xml:space="preserve">96%</w:t>
            </w:r>
          </w:p>
        </w:tc>
        <w:tc>
          <w:tcPr/>
          <w:p>
            <w:pPr>
              <w:pStyle w:val="Compact"/>
              <w:spacing w:line="240" w:lineRule="auto"/>
            </w:pPr>
            <w:r>
              <w:rPr>
                <w:sz w:val="20"/>
              </w:rPr>
              <w:t xml:space="preserve">−1.4 / +1.8 / +1.4</w:t>
            </w:r>
          </w:p>
        </w:tc>
        <w:tc>
          <w:tcPr/>
          <w:p>
            <w:pPr>
              <w:pStyle w:val="Compact"/>
              <w:spacing w:line="240" w:lineRule="auto"/>
            </w:pPr>
            <w:r>
              <w:rPr>
                <w:sz w:val="20"/>
              </w:rPr>
              <w:t xml:space="preserve">0.934 / 0.027 / 0.100</w:t>
            </w:r>
          </w:p>
        </w:tc>
        <w:tc>
          <w:tcPr/>
          <w:p>
            <w:pPr>
              <w:pStyle w:val="Compact"/>
              <w:spacing w:line="240" w:lineRule="auto"/>
            </w:pPr>
            <w:r>
              <w:rPr>
                <w:sz w:val="20"/>
              </w:rPr>
              <w:t xml:space="preserve">0.98 / 0.29 / 0.39</w:t>
            </w:r>
          </w:p>
        </w:tc>
        <w:tc>
          <w:tcPr/>
          <w:p>
            <w:pPr>
              <w:pStyle w:val="Compact"/>
              <w:spacing w:line="240" w:lineRule="auto"/>
            </w:pPr>
            <w:r>
              <w:rPr>
                <w:sz w:val="20"/>
              </w:rPr>
              <w:t xml:space="preserve">0.99 / 0.37 / 0.42</w:t>
            </w:r>
          </w:p>
        </w:tc>
        <w:tc>
          <w:tcPr/>
          <w:p>
            <w:pPr>
              <w:pStyle w:val="Compact"/>
              <w:spacing w:line="240" w:lineRule="auto"/>
            </w:pPr>
            <w:r>
              <w:rPr>
                <w:sz w:val="20"/>
              </w:rPr>
              <w:t xml:space="preserve">0.997 / 0.352 / 0.389</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+0.218</w:t>
            </w:r>
          </w:p>
        </w:tc>
        <w:tc>
          <w:tcPr/>
          <w:p>
            <w:pPr>
              <w:pStyle w:val="Compact"/>
              <w:spacing w:line="240" w:lineRule="auto"/>
            </w:pPr>
            <w:r>
              <w:rPr>
                <w:sz w:val="20"/>
              </w:rPr>
              <w:t xml:space="preserve">96%</w:t>
            </w:r>
          </w:p>
        </w:tc>
        <w:tc>
          <w:tcPr/>
          <w:p>
            <w:pPr>
              <w:pStyle w:val="Compact"/>
              <w:spacing w:line="240" w:lineRule="auto"/>
            </w:pPr>
            <w:r>
              <w:rPr>
                <w:sz w:val="20"/>
              </w:rPr>
              <w:t xml:space="preserve">+0.6 / +0.4 / +0.8</w:t>
            </w:r>
          </w:p>
        </w:tc>
        <w:tc>
          <w:tcPr/>
          <w:p>
            <w:pPr>
              <w:pStyle w:val="Compact"/>
              <w:spacing w:line="240" w:lineRule="auto"/>
            </w:pPr>
            <w:r>
              <w:rPr>
                <w:sz w:val="20"/>
              </w:rPr>
              <w:t xml:space="preserve">0.163 / 0.269 / 0.269</w:t>
            </w:r>
          </w:p>
        </w:tc>
        <w:tc>
          <w:tcPr/>
          <w:p>
            <w:pPr>
              <w:pStyle w:val="Compact"/>
              <w:spacing w:line="240" w:lineRule="auto"/>
            </w:pPr>
            <w:r>
              <w:rPr>
                <w:sz w:val="20"/>
              </w:rPr>
              <w:t xml:space="preserve">0.42 / 0.57 / 0.50</w:t>
            </w:r>
          </w:p>
        </w:tc>
        <w:tc>
          <w:tcPr/>
          <w:p>
            <w:pPr>
              <w:pStyle w:val="Compact"/>
              <w:spacing w:line="240" w:lineRule="auto"/>
            </w:pPr>
            <w:r>
              <w:rPr>
                <w:sz w:val="20"/>
              </w:rPr>
              <w:t xml:space="preserve">0.62 / 0.73 / 0.64</w:t>
            </w:r>
          </w:p>
        </w:tc>
        <w:tc>
          <w:tcPr/>
          <w:p>
            <w:pPr>
              <w:pStyle w:val="Compact"/>
              <w:spacing w:line="240" w:lineRule="auto"/>
            </w:pPr>
            <w:r>
              <w:rPr>
                <w:sz w:val="20"/>
              </w:rPr>
              <w:t xml:space="preserve">0.741 / 0.837 / 0.605</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+0.321</w:t>
            </w:r>
          </w:p>
        </w:tc>
        <w:tc>
          <w:tcPr/>
          <w:p>
            <w:pPr>
              <w:pStyle w:val="Compact"/>
              <w:spacing w:line="240" w:lineRule="auto"/>
            </w:pPr>
            <w:r>
              <w:rPr>
                <w:sz w:val="20"/>
              </w:rPr>
              <w:t xml:space="preserve">99%</w:t>
            </w:r>
          </w:p>
        </w:tc>
        <w:tc>
          <w:tcPr/>
          <w:p>
            <w:pPr>
              <w:pStyle w:val="Compact"/>
              <w:spacing w:line="240" w:lineRule="auto"/>
            </w:pPr>
            <w:r>
              <w:rPr>
                <w:sz w:val="20"/>
              </w:rPr>
              <w:t xml:space="preserve">−0.3 / −2.1 / +0.5</w:t>
            </w:r>
          </w:p>
        </w:tc>
        <w:tc>
          <w:tcPr/>
          <w:p>
            <w:pPr>
              <w:pStyle w:val="Compact"/>
              <w:spacing w:line="240" w:lineRule="auto"/>
            </w:pPr>
            <w:r>
              <w:rPr>
                <w:sz w:val="20"/>
              </w:rPr>
              <w:t xml:space="preserve">0.528 / 0.993 / 0.312</w:t>
            </w:r>
          </w:p>
        </w:tc>
        <w:tc>
          <w:tcPr/>
          <w:p>
            <w:pPr>
              <w:pStyle w:val="Compact"/>
              <w:spacing w:line="240" w:lineRule="auto"/>
            </w:pPr>
            <w:r>
              <w:rPr>
                <w:sz w:val="20"/>
              </w:rPr>
              <w:t xml:space="preserve">0.33 / 1.00 / 0.23</w:t>
            </w:r>
          </w:p>
        </w:tc>
        <w:tc>
          <w:tcPr/>
          <w:p>
            <w:pPr>
              <w:pStyle w:val="Compact"/>
              <w:spacing w:line="240" w:lineRule="auto"/>
            </w:pPr>
            <w:r>
              <w:rPr>
                <w:sz w:val="20"/>
              </w:rPr>
              <w:t xml:space="preserve">0.42 / 0.98 / 0.22</w:t>
            </w:r>
          </w:p>
        </w:tc>
        <w:tc>
          <w:tcPr/>
          <w:p>
            <w:pPr>
              <w:pStyle w:val="Compact"/>
              <w:spacing w:line="240" w:lineRule="auto"/>
            </w:pPr>
            <w:r>
              <w:rPr>
                <w:sz w:val="20"/>
              </w:rPr>
              <w:t xml:space="preserve">0.654 / 0.990 / 0.365</w:t>
            </w:r>
          </w:p>
        </w:tc>
      </w:tr>
    </w:tbl>
    <w:p>
      <w:pPr>
        <w:pStyle w:val="BodyText"/>
      </w:pPr>
      <w:r>
        <w:t xml:space="preserve">Each cell lists the nuclear/surface, mitochondrion/cytoskeleton and transcription/transport axes, in that order. All representations use the same 600 cells per cell type, partitions and gene panel; genes count-balanced in at least 6 of the 12 cell types. The p values are empirical one-sided values against 300 null axes of the same pole sizes (1/301 is the smallest possible). Rank regression uses MaxToki’s mean rank on the same cells as the abundance covariate. Additional file 1 repeats the functional axes and the co-expression nulls with the mean log-normalised expression as covariate, and with genes count-balanced in at least 9 cell types.</w:t>
      </w:r>
    </w:p>
    <w:p>
      <w:pPr>
        <w:pStyle w:val="TableCaption"/>
      </w:pPr>
      <w:r>
        <w:rPr>
          <w:b/>
          <w:bCs/>
        </w:rPr>
        <w:t xml:space="preserve">Table 4.</w:t>
      </w:r>
      <w:r>
        <w:t xml:space="preserve"> </w:t>
      </w:r>
      <w:r>
        <w:t xml:space="preserve">Tests for context-specific gene function in every representation</w:t>
      </w:r>
    </w:p>
    <w:tbl>
      <w:tblPr>
        <w:tblStyle w:val="Table"/>
        <w:tblW w:type="pct" w:w="5000"/>
        <w:tblLayout w:type="fixed"/>
        <w:tblLook w:firstRow="1" w:lastRow="0" w:firstColumn="0" w:lastColumn="0" w:noHBand="0" w:noVBand="0" w:val="0020"/>
        <w:tblCaption w:val="Table 4. Tests for context-specific gene function in every representation"/>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Directional congruence β</w:t>
            </w:r>
          </w:p>
        </w:tc>
        <w:tc>
          <w:tcPr/>
          <w:p>
            <w:pPr>
              <w:pStyle w:val="Compact"/>
              <w:spacing w:line="240" w:lineRule="auto"/>
            </w:pPr>
            <w:r>
              <w:rPr>
                <w:sz w:val="20"/>
              </w:rPr>
              <w:t xml:space="preserve">p (smallest at this layer; Holm-significant tests, all layers)</w:t>
            </w:r>
          </w:p>
        </w:tc>
        <w:tc>
          <w:tcPr/>
          <w:p>
            <w:pPr>
              <w:pStyle w:val="Compact"/>
              <w:spacing w:line="240" w:lineRule="auto"/>
            </w:pPr>
            <w:r>
              <w:rPr>
                <w:sz w:val="20"/>
              </w:rPr>
              <w:t xml:space="preserve">TFs tested</w:t>
            </w:r>
          </w:p>
        </w:tc>
        <w:tc>
          <w:tcPr/>
          <w:p>
            <w:pPr>
              <w:pStyle w:val="Compact"/>
              <w:spacing w:line="240" w:lineRule="auto"/>
            </w:pPr>
            <w:r>
              <w:rPr>
                <w:sz w:val="20"/>
              </w:rPr>
              <w:t xml:space="preserve">Closeness to curated targets (p)</w:t>
            </w:r>
          </w:p>
        </w:tc>
        <w:tc>
          <w:tcPr/>
          <w:p>
            <w:pPr>
              <w:pStyle w:val="Compact"/>
              <w:spacing w:line="240" w:lineRule="auto"/>
            </w:pPr>
            <w:r>
              <w:rPr>
                <w:sz w:val="20"/>
              </w:rPr>
              <w:t xml:space="preserve">Closer to own than to other TFs’ targets (p)</w:t>
            </w:r>
          </w:p>
        </w:tc>
        <w:tc>
          <w:tcPr/>
          <w:p>
            <w:pPr>
              <w:pStyle w:val="Compact"/>
              <w:spacing w:line="240" w:lineRule="auto"/>
            </w:pPr>
            <w:r>
              <w:rPr>
                <w:sz w:val="20"/>
              </w:rPr>
              <w:t xml:space="preserve">Rise where targets are active, ρ (p)</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+0.12 / −0.07 / +0.15</w:t>
            </w:r>
          </w:p>
        </w:tc>
        <w:tc>
          <w:tcPr/>
          <w:p>
            <w:pPr>
              <w:pStyle w:val="Compact"/>
              <w:spacing w:line="240" w:lineRule="auto"/>
            </w:pPr>
            <w:r>
              <w:rPr>
                <w:sz w:val="20"/>
              </w:rPr>
              <w:t xml:space="preserve">0.086 (0)</w:t>
            </w:r>
          </w:p>
        </w:tc>
        <w:tc>
          <w:tcPr/>
          <w:p>
            <w:pPr>
              <w:pStyle w:val="Compact"/>
              <w:spacing w:line="240" w:lineRule="auto"/>
            </w:pPr>
            <w:r>
              <w:rPr>
                <w:sz w:val="20"/>
              </w:rPr>
              <w:t xml:space="preserve">11</w:t>
            </w:r>
          </w:p>
        </w:tc>
        <w:tc>
          <w:tcPr/>
          <w:p>
            <w:pPr>
              <w:pStyle w:val="Compact"/>
              <w:spacing w:line="240" w:lineRule="auto"/>
            </w:pPr>
            <w:r>
              <w:rPr>
                <w:sz w:val="20"/>
              </w:rPr>
              <w:t xml:space="preserve">+0.011 (0.113)</w:t>
            </w:r>
          </w:p>
        </w:tc>
        <w:tc>
          <w:tcPr/>
          <w:p>
            <w:pPr>
              <w:pStyle w:val="Compact"/>
              <w:spacing w:line="240" w:lineRule="auto"/>
            </w:pPr>
            <w:r>
              <w:rPr>
                <w:sz w:val="20"/>
              </w:rPr>
              <w:t xml:space="preserve">+0.004 (0.887)</w:t>
            </w:r>
          </w:p>
        </w:tc>
        <w:tc>
          <w:tcPr/>
          <w:p>
            <w:pPr>
              <w:pStyle w:val="Compact"/>
              <w:spacing w:line="240" w:lineRule="auto"/>
            </w:pPr>
            <w:r>
              <w:rPr>
                <w:sz w:val="20"/>
              </w:rPr>
              <w:t xml:space="preserve">+0.028 (0.89)</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+0.07 / −0.20 / +0.02</w:t>
            </w:r>
          </w:p>
        </w:tc>
        <w:tc>
          <w:tcPr/>
          <w:p>
            <w:pPr>
              <w:pStyle w:val="Compact"/>
              <w:spacing w:line="240" w:lineRule="auto"/>
            </w:pPr>
            <w:r>
              <w:rPr>
                <w:sz w:val="20"/>
              </w:rPr>
              <w:t xml:space="preserve">0.306 (0)</w:t>
            </w:r>
          </w:p>
        </w:tc>
        <w:tc>
          <w:tcPr/>
          <w:p>
            <w:pPr>
              <w:pStyle w:val="Compact"/>
              <w:spacing w:line="240" w:lineRule="auto"/>
            </w:pPr>
            <w:r>
              <w:rPr>
                <w:sz w:val="20"/>
              </w:rPr>
              <w:t xml:space="preserve">11</w:t>
            </w:r>
          </w:p>
        </w:tc>
        <w:tc>
          <w:tcPr/>
          <w:p>
            <w:pPr>
              <w:pStyle w:val="Compact"/>
              <w:spacing w:line="240" w:lineRule="auto"/>
            </w:pPr>
            <w:r>
              <w:rPr>
                <w:sz w:val="20"/>
              </w:rPr>
              <w:t xml:space="preserve">+0.014 (0.274)</w:t>
            </w:r>
          </w:p>
        </w:tc>
        <w:tc>
          <w:tcPr/>
          <w:p>
            <w:pPr>
              <w:pStyle w:val="Compact"/>
              <w:spacing w:line="240" w:lineRule="auto"/>
            </w:pPr>
            <w:r>
              <w:rPr>
                <w:sz w:val="20"/>
              </w:rPr>
              <w:t xml:space="preserve">+0.001 (0.726)</w:t>
            </w:r>
          </w:p>
        </w:tc>
        <w:tc>
          <w:tcPr/>
          <w:p>
            <w:pPr>
              <w:pStyle w:val="Compact"/>
              <w:spacing w:line="240" w:lineRule="auto"/>
            </w:pPr>
            <w:r>
              <w:rPr>
                <w:sz w:val="20"/>
              </w:rPr>
              <w:t xml:space="preserve">+0.068 (0.50)</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−0.05 / −0.02 / −0.16</w:t>
            </w:r>
          </w:p>
        </w:tc>
        <w:tc>
          <w:tcPr/>
          <w:p>
            <w:pPr>
              <w:pStyle w:val="Compact"/>
              <w:spacing w:line="240" w:lineRule="auto"/>
            </w:pPr>
            <w:r>
              <w:rPr>
                <w:sz w:val="20"/>
              </w:rPr>
              <w:t xml:space="preserve">0.482 (0)</w:t>
            </w:r>
          </w:p>
        </w:tc>
        <w:tc>
          <w:tcPr/>
          <w:p>
            <w:pPr>
              <w:pStyle w:val="Compact"/>
              <w:spacing w:line="240" w:lineRule="auto"/>
            </w:pPr>
            <w:r>
              <w:rPr>
                <w:sz w:val="20"/>
              </w:rPr>
              <w:t xml:space="preserve">16</w:t>
            </w:r>
          </w:p>
        </w:tc>
        <w:tc>
          <w:tcPr/>
          <w:p>
            <w:pPr>
              <w:pStyle w:val="Compact"/>
              <w:spacing w:line="240" w:lineRule="auto"/>
            </w:pPr>
            <w:r>
              <w:rPr>
                <w:sz w:val="20"/>
              </w:rPr>
              <w:t xml:space="preserve">+0.026 (0.402)</w:t>
            </w:r>
          </w:p>
        </w:tc>
        <w:tc>
          <w:tcPr/>
          <w:p>
            <w:pPr>
              <w:pStyle w:val="Compact"/>
              <w:spacing w:line="240" w:lineRule="auto"/>
            </w:pPr>
            <w:r>
              <w:rPr>
                <w:sz w:val="20"/>
              </w:rPr>
              <w:t xml:space="preserve">+0.070 (0.011)</w:t>
            </w:r>
          </w:p>
        </w:tc>
        <w:tc>
          <w:tcPr/>
          <w:p>
            <w:pPr>
              <w:pStyle w:val="Compact"/>
              <w:spacing w:line="240" w:lineRule="auto"/>
            </w:pPr>
            <w:r>
              <w:rPr>
                <w:sz w:val="20"/>
              </w:rPr>
              <w:t xml:space="preserve">−0.002 (0.40)</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−0.03 / +0.09 / −0.08</w:t>
            </w:r>
          </w:p>
        </w:tc>
        <w:tc>
          <w:tcPr/>
          <w:p>
            <w:pPr>
              <w:pStyle w:val="Compact"/>
              <w:spacing w:line="240" w:lineRule="auto"/>
            </w:pPr>
            <w:r>
              <w:rPr>
                <w:sz w:val="20"/>
              </w:rPr>
              <w:t xml:space="preserve">0.266 (0)</w:t>
            </w:r>
          </w:p>
        </w:tc>
        <w:tc>
          <w:tcPr/>
          <w:p>
            <w:pPr>
              <w:pStyle w:val="Compact"/>
              <w:spacing w:line="240" w:lineRule="auto"/>
            </w:pPr>
            <w:r>
              <w:rPr>
                <w:sz w:val="20"/>
              </w:rPr>
              <w:t xml:space="preserve">24</w:t>
            </w:r>
          </w:p>
        </w:tc>
        <w:tc>
          <w:tcPr/>
          <w:p>
            <w:pPr>
              <w:pStyle w:val="Compact"/>
              <w:spacing w:line="240" w:lineRule="auto"/>
            </w:pPr>
            <w:r>
              <w:rPr>
                <w:sz w:val="20"/>
              </w:rPr>
              <w:t xml:space="preserve">+0.099 (7.7 × 10</w:t>
            </w:r>
            <w:r>
              <w:rPr>
                <w:sz w:val="20"/>
                <w:vertAlign w:val="superscript"/>
              </w:rPr>
              <w:t xml:space="preserve">−4</w:t>
            </w:r>
            <w:r>
              <w:rPr>
                <w:sz w:val="20"/>
              </w:rPr>
              <w:t xml:space="preserve">)</w:t>
            </w:r>
          </w:p>
        </w:tc>
        <w:tc>
          <w:tcPr/>
          <w:p>
            <w:pPr>
              <w:pStyle w:val="Compact"/>
              <w:spacing w:line="240" w:lineRule="auto"/>
            </w:pPr>
            <w:r>
              <w:rPr>
                <w:sz w:val="20"/>
              </w:rPr>
              <w:t xml:space="preserve">+0.047 (0.032)</w:t>
            </w:r>
          </w:p>
        </w:tc>
        <w:tc>
          <w:tcPr/>
          <w:p>
            <w:pPr>
              <w:pStyle w:val="Compact"/>
              <w:spacing w:line="240" w:lineRule="auto"/>
            </w:pPr>
            <w:r>
              <w:rPr>
                <w:sz w:val="20"/>
              </w:rPr>
              <w:t xml:space="preserve">−0.047 (0.73)</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−0.03 / −0.37 / +0.43</w:t>
            </w:r>
          </w:p>
        </w:tc>
        <w:tc>
          <w:tcPr/>
          <w:p>
            <w:pPr>
              <w:pStyle w:val="Compact"/>
              <w:spacing w:line="240" w:lineRule="auto"/>
            </w:pPr>
            <w:r>
              <w:rPr>
                <w:sz w:val="20"/>
              </w:rPr>
              <w:t xml:space="preserve">0.106 (0)</w:t>
            </w:r>
          </w:p>
        </w:tc>
        <w:tc>
          <w:tcPr/>
          <w:p>
            <w:pPr>
              <w:pStyle w:val="Compact"/>
              <w:spacing w:line="240" w:lineRule="auto"/>
            </w:pPr>
            <w:r>
              <w:rPr>
                <w:sz w:val="20"/>
              </w:rPr>
              <w:t xml:space="preserve">11</w:t>
            </w:r>
          </w:p>
        </w:tc>
        <w:tc>
          <w:tcPr/>
          <w:p>
            <w:pPr>
              <w:pStyle w:val="Compact"/>
              <w:spacing w:line="240" w:lineRule="auto"/>
            </w:pPr>
            <w:r>
              <w:rPr>
                <w:sz w:val="20"/>
              </w:rPr>
              <w:t xml:space="preserve">−0.098 (0.887)</w:t>
            </w:r>
          </w:p>
        </w:tc>
        <w:tc>
          <w:tcPr/>
          <w:p>
            <w:pPr>
              <w:pStyle w:val="Compact"/>
              <w:spacing w:line="240" w:lineRule="auto"/>
            </w:pPr>
            <w:r>
              <w:rPr>
                <w:sz w:val="20"/>
              </w:rPr>
              <w:t xml:space="preserve">−0.007 (0.726)</w:t>
            </w:r>
          </w:p>
        </w:tc>
        <w:tc>
          <w:tcPr/>
          <w:p>
            <w:pPr>
              <w:pStyle w:val="Compact"/>
              <w:spacing w:line="240" w:lineRule="auto"/>
            </w:pPr>
            <w:r>
              <w:rPr>
                <w:sz w:val="20"/>
              </w:rPr>
              <w:t xml:space="preserve">+0.037 (0.73)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+0.04 / +0.14 / +0.25</w:t>
            </w:r>
          </w:p>
        </w:tc>
        <w:tc>
          <w:tcPr/>
          <w:p>
            <w:pPr>
              <w:pStyle w:val="Compact"/>
              <w:spacing w:line="240" w:lineRule="auto"/>
            </w:pPr>
            <w:r>
              <w:rPr>
                <w:sz w:val="20"/>
              </w:rPr>
              <w:t xml:space="preserve">0.206 (0)</w:t>
            </w:r>
          </w:p>
        </w:tc>
        <w:tc>
          <w:tcPr/>
          <w:p>
            <w:pPr>
              <w:pStyle w:val="Compact"/>
              <w:spacing w:line="240" w:lineRule="auto"/>
            </w:pPr>
            <w:r>
              <w:rPr>
                <w:sz w:val="20"/>
              </w:rPr>
              <w:t xml:space="preserve">11</w:t>
            </w:r>
          </w:p>
        </w:tc>
        <w:tc>
          <w:tcPr/>
          <w:p>
            <w:pPr>
              <w:pStyle w:val="Compact"/>
              <w:spacing w:line="240" w:lineRule="auto"/>
            </w:pPr>
            <w:r>
              <w:rPr>
                <w:sz w:val="20"/>
              </w:rPr>
              <w:t xml:space="preserve">−0.029 (0.887)</w:t>
            </w:r>
          </w:p>
        </w:tc>
        <w:tc>
          <w:tcPr/>
          <w:p>
            <w:pPr>
              <w:pStyle w:val="Compact"/>
              <w:spacing w:line="240" w:lineRule="auto"/>
            </w:pPr>
            <w:r>
              <w:rPr>
                <w:sz w:val="20"/>
              </w:rPr>
              <w:t xml:space="preserve">+0.014 (0.500)</w:t>
            </w:r>
          </w:p>
        </w:tc>
        <w:tc>
          <w:tcPr/>
          <w:p>
            <w:pPr>
              <w:pStyle w:val="Compact"/>
              <w:spacing w:line="240" w:lineRule="auto"/>
            </w:pPr>
            <w:r>
              <w:rPr>
                <w:sz w:val="20"/>
              </w:rPr>
              <w:t xml:space="preserve">+0.131 (0.50)</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+0.00 / −0.11 / +0.05</w:t>
            </w:r>
          </w:p>
        </w:tc>
        <w:tc>
          <w:tcPr/>
          <w:p>
            <w:pPr>
              <w:pStyle w:val="Compact"/>
              <w:spacing w:line="240" w:lineRule="auto"/>
            </w:pPr>
            <w:r>
              <w:rPr>
                <w:sz w:val="20"/>
              </w:rPr>
              <w:t xml:space="preserve">0.113 (0)</w:t>
            </w:r>
          </w:p>
        </w:tc>
        <w:tc>
          <w:tcPr/>
          <w:p>
            <w:pPr>
              <w:pStyle w:val="Compact"/>
              <w:spacing w:line="240" w:lineRule="auto"/>
            </w:pPr>
            <w:r>
              <w:rPr>
                <w:sz w:val="20"/>
              </w:rPr>
              <w:t xml:space="preserve">11</w:t>
            </w:r>
          </w:p>
        </w:tc>
        <w:tc>
          <w:tcPr/>
          <w:p>
            <w:pPr>
              <w:pStyle w:val="Compact"/>
              <w:spacing w:line="240" w:lineRule="auto"/>
            </w:pPr>
            <w:r>
              <w:rPr>
                <w:sz w:val="20"/>
              </w:rPr>
              <w:t xml:space="preserve">+0.049 (0.500)</w:t>
            </w:r>
          </w:p>
        </w:tc>
        <w:tc>
          <w:tcPr/>
          <w:p>
            <w:pPr>
              <w:pStyle w:val="Compact"/>
              <w:spacing w:line="240" w:lineRule="auto"/>
            </w:pPr>
            <w:r>
              <w:rPr>
                <w:sz w:val="20"/>
              </w:rPr>
              <w:t xml:space="preserve">+0.076 (0.500)</w:t>
            </w:r>
          </w:p>
        </w:tc>
        <w:tc>
          <w:tcPr/>
          <w:p>
            <w:pPr>
              <w:pStyle w:val="Compact"/>
              <w:spacing w:line="240" w:lineRule="auto"/>
            </w:pPr>
            <w:r>
              <w:rPr>
                <w:sz w:val="20"/>
              </w:rPr>
              <w:t xml:space="preserve">+0.214 (0.03)</w:t>
            </w:r>
          </w:p>
        </w:tc>
      </w:tr>
    </w:tbl>
    <w:p>
      <w:pPr>
        <w:pStyle w:val="BodyText"/>
      </w:pPr>
      <w:r>
        <w:t xml:space="preserve">Directional congruence β is listed for the nuclear/surface, mitochondrion/cytoskeleton and transcription/transport axes, against 300 size- and co-expression-matched null axes; the Holm correction runs over all axes and layers tested for that representation (6 tests for the MaxToki models, 9 for scGPT, 9 for STATE and 3 for the expression-only representations). The curated-target tests use TFs count-balanced in at least 6 cell types with at least 15 curated targets in the panel; with 600 cells per cell type fewer TFs qualify than in the 1000-cell MaxToki-217M extraction (26 TFs): 11 for the MaxToki models and the expression-only representations, 16 for scGPT and 24 for STATE. The 11-TF tests have little power. The third test compares a TF’s closeness to its own targets with its closeness to the targets of the other TFs tested. The curated-target p values are not corrected for multiple tests.</w:t>
      </w:r>
    </w:p>
    <w:bookmarkEnd w:id="32"/>
    <w:bookmarkStart w:id="33" w:name="Xbf55c50ec1d45df8906016bf4ba92d76161d75e"/>
    <w:p>
      <w:pPr>
        <w:pStyle w:val="Heading2"/>
      </w:pPr>
      <w:r>
        <w:t xml:space="preserve">Contextualisation across architectures and sizes, and with untrained models</w:t>
      </w:r>
    </w:p>
    <w:p>
      <w:pPr>
        <w:pStyle w:val="FirstParagraph"/>
      </w:pPr>
      <w:r>
        <w:t xml:space="preserve">Functional organisation can be measured whether or not a model shows context-specific gene function, so it could serve as a way to compare models (Table 5, Fig. 5). Here every representation shares the cells, cell types, partitions and gene panel. (1) Every model contextualises genes strongly (EXCESS +0.740, +0.767, +0.813 and +0.867 for MaxToki-217M, MaxToki-1B, scGPT and STATE at depth-matched layers; these differ slightly from Table 3 because more cell-type pairs are scored here, Methods), but contextualisation does not grow consistently with model size. At matched relative depth, MaxToki-1B gives +0.767 (layer 7) against +0.740 for MaxToki-217M (layer 4), and +0.766 (layer 4) against +0.832 (layer 2). Functional organisation is not consistently higher in the larger model either: functional-z is +7.2 against +15.5 at relative depth 0.35, and +18.0 against +18.4 at 0.2. The depth pattern also differs between models. From the earlier to the later layer, EXCESS falls in MaxToki-217M (+0.829 to +0.738) and slightly in STATE (+0.879, +0.867 and +0.842 at layers 3, 6 and 12), stays the same in MaxToki-1B (+0.764 and +0.764) and rises in scGPT (+0.687, +0.813 and +0.872 at layers 2, 4 and 9; all depth values in this sentence use cell-type pairs with at least 200 count-balanced genes, as in Table 3). (2) On the nuclear/surface axis and each model’s own entries, functional organisation is highest in the MaxToki models and much lower in scGPT and STATE (+3.7 and +4.0). The order between the other models depends on the gene set and the controls. On the entries shared by all representations, STATE (+6.8) is above scGPT (+3.3) and MaxToki-1B at layer 7 (+4.8). After the rank regression, STATE is above both MaxToki models on the mitochondrion/cytoskeleton axis (+9.8 against +7.5 and +8.1; Table 3), but with the gene’s mean expression as the covariate it is below both (+7.0 against +9.1 and +8.8). On the nuclear/surface axis, only MaxToki-217M stays clearly above scGPT and STATE in every version: each model’s own entries, the shared entries, the 9-cell-type cut and both abundance covariates. On the other two axes it is not clearly above STATE. The models differ in more than input (training data, objective and gene vocabulary), so this comparison does not isolate the cause, and the functional organisation is not yet a stable way to rank architectures. (3) Part of the contextualisation needs no training in every architecture. Untrained versions keep 60% (MaxToki-217M), 36% (scGPT) and 88% (STATE) of the trained EXCESS. Untrained MaxToki-217M keeps a much smaller share of the functional organisation (functional-z +4.6 against +15.5; +4.1 against +11.3 on the shared entries). In scGPT and STATE the trained values are already low (+3.7 and +4.0), so these comparisons tell us little about whether training adds organisation. Untrained scGPT gives +2.2. Untrained STATE gives +1.4 on its own entries, but +3.8 against +6.8 on the shared entries. After the rank regression, untrained STATE keeps about half of the trained organisation on the nuclear/surface and mitochondrion/cytoskeleton axes (+3.0 against +5.5; +4.8 against +9.8) and is above the trained model on transcription/transport (+5.6 against +4.0). So in STATE much of the functional organisation does not need training. In untrained scGPT the functional axes barely separate their two poles (validity AUC 0.51–0.57), so its values cannot be read. We did not test why the untrained STATE keeps most of the contextualisation. Two things could contribute: each gene’s input token carries its expression level, which itself differs between cell types, and the untrained model uses the same fixed protein-embedding gene table as the trained one. Running STATE with random weights and a random gene table would separate the two; we did not run it. The expression-only representations show little or no functional organisation (−1.3, +0.7 and −0.4). Their EXCESS is lower (+0.424, +0.218 and +0.320), but it depends on how many cells each vector averages (+0.607 for the centroid version with all expressing cells), so the strength of contextualisation alone does not separate the models from expression. On the 14,109 shared entries EXCESS changes little. Besides the changes given above, on the shared entries MaxToki-1B is above MaxToki-217M at relative depth 0.2 (+15.1 against +13.5), and untrained STATE is above trained scGPT (+3.8 against +3.3).</w:t>
      </w:r>
    </w:p>
    <w:p>
      <w:pPr>
        <w:pStyle w:val="TableCaption"/>
      </w:pPr>
      <w:r>
        <w:rPr>
          <w:b/>
          <w:bCs/>
        </w:rPr>
        <w:t xml:space="preserve">Table 5.</w:t>
      </w:r>
      <w:r>
        <w:t xml:space="preserve"> </w:t>
      </w:r>
      <w:r>
        <w:t xml:space="preserve">Contextualisation strength and functional organisation of every representation on the same cells</w:t>
      </w:r>
    </w:p>
    <w:tbl>
      <w:tblPr>
        <w:tblStyle w:val="Table"/>
        <w:tblW w:type="pct" w:w="5000"/>
        <w:tblLayout w:type="fixed"/>
        <w:tblLook w:firstRow="1" w:lastRow="0" w:firstColumn="0" w:lastColumn="0" w:noHBand="0" w:noVBand="0" w:val="0020"/>
        <w:tblCaption w:val="Table 5. Contextualisation strength and functional organisation of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Width</w:t>
            </w:r>
          </w:p>
        </w:tc>
        <w:tc>
          <w:tcPr/>
          <w:p>
            <w:pPr>
              <w:pStyle w:val="Compact"/>
              <w:spacing w:line="240" w:lineRule="auto"/>
            </w:pPr>
            <w:r>
              <w:rPr>
                <w:sz w:val="20"/>
              </w:rPr>
              <w:t xml:space="preserve">Genes</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c>
          <w:tcPr/>
          <w:p>
            <w:pPr>
              <w:pStyle w:val="Compact"/>
              <w:spacing w:line="240" w:lineRule="auto"/>
            </w:pPr>
            <w:r>
              <w:rPr>
                <w:sz w:val="20"/>
              </w:rPr>
              <w:t xml:space="preserve">EXCESS, shared entries</w:t>
            </w:r>
          </w:p>
        </w:tc>
        <w:tc>
          <w:tcPr/>
          <w:p>
            <w:pPr>
              <w:pStyle w:val="Compact"/>
              <w:spacing w:line="240" w:lineRule="auto"/>
            </w:pPr>
            <w:r>
              <w:rPr>
                <w:sz w:val="20"/>
              </w:rPr>
              <w:t xml:space="preserve">Functional-z, shared entries</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+0.832</w:t>
            </w:r>
          </w:p>
        </w:tc>
        <w:tc>
          <w:tcPr/>
          <w:p>
            <w:pPr>
              <w:pStyle w:val="Compact"/>
              <w:spacing w:line="240" w:lineRule="auto"/>
            </w:pPr>
            <w:r>
              <w:rPr>
                <w:sz w:val="20"/>
              </w:rPr>
              <w:t xml:space="preserve">+18.4</w:t>
            </w:r>
          </w:p>
        </w:tc>
        <w:tc>
          <w:tcPr/>
          <w:p>
            <w:pPr>
              <w:pStyle w:val="Compact"/>
              <w:spacing w:line="240" w:lineRule="auto"/>
            </w:pPr>
            <w:r>
              <w:rPr>
                <w:sz w:val="20"/>
              </w:rPr>
              <w:t xml:space="preserve">+0.833</w:t>
            </w:r>
          </w:p>
        </w:tc>
        <w:tc>
          <w:tcPr/>
          <w:p>
            <w:pPr>
              <w:pStyle w:val="Compact"/>
              <w:spacing w:line="240" w:lineRule="auto"/>
            </w:pPr>
            <w:r>
              <w:rPr>
                <w:sz w:val="20"/>
              </w:rPr>
              <w:t xml:space="preserve">+13.5</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+0.740</w:t>
            </w:r>
          </w:p>
        </w:tc>
        <w:tc>
          <w:tcPr/>
          <w:p>
            <w:pPr>
              <w:pStyle w:val="Compact"/>
              <w:spacing w:line="240" w:lineRule="auto"/>
            </w:pPr>
            <w:r>
              <w:rPr>
                <w:sz w:val="20"/>
              </w:rPr>
              <w:t xml:space="preserve">+15.5</w:t>
            </w:r>
          </w:p>
        </w:tc>
        <w:tc>
          <w:tcPr/>
          <w:p>
            <w:pPr>
              <w:pStyle w:val="Compact"/>
              <w:spacing w:line="240" w:lineRule="auto"/>
            </w:pPr>
            <w:r>
              <w:rPr>
                <w:sz w:val="20"/>
              </w:rPr>
              <w:t xml:space="preserve">+0.735</w:t>
            </w:r>
          </w:p>
        </w:tc>
        <w:tc>
          <w:tcPr/>
          <w:p>
            <w:pPr>
              <w:pStyle w:val="Compact"/>
              <w:spacing w:line="240" w:lineRule="auto"/>
            </w:pPr>
            <w:r>
              <w:rPr>
                <w:sz w:val="20"/>
              </w:rPr>
              <w:t xml:space="preserve">+11.3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+0.766</w:t>
            </w:r>
          </w:p>
        </w:tc>
        <w:tc>
          <w:tcPr/>
          <w:p>
            <w:pPr>
              <w:pStyle w:val="Compact"/>
              <w:spacing w:line="240" w:lineRule="auto"/>
            </w:pPr>
            <w:r>
              <w:rPr>
                <w:sz w:val="20"/>
              </w:rPr>
              <w:t xml:space="preserve">+18.0</w:t>
            </w:r>
          </w:p>
        </w:tc>
        <w:tc>
          <w:tcPr/>
          <w:p>
            <w:pPr>
              <w:pStyle w:val="Compact"/>
              <w:spacing w:line="240" w:lineRule="auto"/>
            </w:pPr>
            <w:r>
              <w:rPr>
                <w:sz w:val="20"/>
              </w:rPr>
              <w:t xml:space="preserve">+0.763</w:t>
            </w:r>
          </w:p>
        </w:tc>
        <w:tc>
          <w:tcPr/>
          <w:p>
            <w:pPr>
              <w:pStyle w:val="Compact"/>
              <w:spacing w:line="240" w:lineRule="auto"/>
            </w:pPr>
            <w:r>
              <w:rPr>
                <w:sz w:val="20"/>
              </w:rPr>
              <w:t xml:space="preserve">+15.1</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+0.767</w:t>
            </w:r>
          </w:p>
        </w:tc>
        <w:tc>
          <w:tcPr/>
          <w:p>
            <w:pPr>
              <w:pStyle w:val="Compact"/>
              <w:spacing w:line="240" w:lineRule="auto"/>
            </w:pPr>
            <w:r>
              <w:rPr>
                <w:sz w:val="20"/>
              </w:rPr>
              <w:t xml:space="preserve">+7.2</w:t>
            </w:r>
          </w:p>
        </w:tc>
        <w:tc>
          <w:tcPr/>
          <w:p>
            <w:pPr>
              <w:pStyle w:val="Compact"/>
              <w:spacing w:line="240" w:lineRule="auto"/>
            </w:pPr>
            <w:r>
              <w:rPr>
                <w:sz w:val="20"/>
              </w:rPr>
              <w:t xml:space="preserve">+0.761</w:t>
            </w:r>
          </w:p>
        </w:tc>
        <w:tc>
          <w:tcPr/>
          <w:p>
            <w:pPr>
              <w:pStyle w:val="Compact"/>
              <w:spacing w:line="240" w:lineRule="auto"/>
            </w:pPr>
            <w:r>
              <w:rPr>
                <w:sz w:val="20"/>
              </w:rPr>
              <w:t xml:space="preserve">+4.8</w:t>
            </w:r>
          </w:p>
        </w:tc>
      </w:tr>
      <w:tr>
        <w:tc>
          <w:tcPr/>
          <w:p>
            <w:pPr>
              <w:pStyle w:val="Compact"/>
              <w:spacing w:line="240" w:lineRule="auto"/>
            </w:pPr>
            <w:r>
              <w:rPr>
                <w:sz w:val="20"/>
              </w:rPr>
              <w:t xml:space="preserve">scGPT</w:t>
            </w:r>
          </w:p>
        </w:tc>
        <w:tc>
          <w:tcPr/>
          <w:p>
            <w:pPr>
              <w:pStyle w:val="Compact"/>
              <w:spacing w:line="240" w:lineRule="auto"/>
            </w:pPr>
            <w:r>
              <w:rPr>
                <w:sz w:val="20"/>
              </w:rPr>
              <w:t xml:space="preserve">2 (0.17)</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+0.688</w:t>
            </w:r>
          </w:p>
        </w:tc>
        <w:tc>
          <w:tcPr/>
          <w:p>
            <w:pPr>
              <w:pStyle w:val="Compact"/>
              <w:spacing w:line="240" w:lineRule="auto"/>
            </w:pPr>
            <w:r>
              <w:rPr>
                <w:sz w:val="20"/>
              </w:rPr>
              <w:t xml:space="preserve">+4.0</w:t>
            </w:r>
          </w:p>
        </w:tc>
        <w:tc>
          <w:tcPr/>
          <w:p>
            <w:pPr>
              <w:pStyle w:val="Compact"/>
              <w:spacing w:line="240" w:lineRule="auto"/>
            </w:pPr>
            <w:r>
              <w:rPr>
                <w:sz w:val="20"/>
              </w:rPr>
              <w:t xml:space="preserve">+0.650</w:t>
            </w:r>
          </w:p>
        </w:tc>
        <w:tc>
          <w:tcPr/>
          <w:p>
            <w:pPr>
              <w:pStyle w:val="Compact"/>
              <w:spacing w:line="240" w:lineRule="auto"/>
            </w:pPr>
            <w:r>
              <w:rPr>
                <w:sz w:val="20"/>
              </w:rPr>
              <w:t xml:space="preserve">+4.6</w:t>
            </w:r>
          </w:p>
        </w:tc>
      </w:tr>
      <w:tr>
        <w:tc>
          <w:tcPr/>
          <w:p>
            <w:pPr>
              <w:pStyle w:val="Compact"/>
              <w:spacing w:line="240" w:lineRule="auto"/>
            </w:pPr>
            <w:r>
              <w:rPr>
                <w:sz w:val="20"/>
              </w:rPr>
              <w:t xml:space="preserve">scGPT</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+0.813</w:t>
            </w:r>
          </w:p>
        </w:tc>
        <w:tc>
          <w:tcPr/>
          <w:p>
            <w:pPr>
              <w:pStyle w:val="Compact"/>
              <w:spacing w:line="240" w:lineRule="auto"/>
            </w:pPr>
            <w:r>
              <w:rPr>
                <w:sz w:val="20"/>
              </w:rPr>
              <w:t xml:space="preserve">+3.7</w:t>
            </w:r>
          </w:p>
        </w:tc>
        <w:tc>
          <w:tcPr/>
          <w:p>
            <w:pPr>
              <w:pStyle w:val="Compact"/>
              <w:spacing w:line="240" w:lineRule="auto"/>
            </w:pPr>
            <w:r>
              <w:rPr>
                <w:sz w:val="20"/>
              </w:rPr>
              <w:t xml:space="preserve">+0.800</w:t>
            </w:r>
          </w:p>
        </w:tc>
        <w:tc>
          <w:tcPr/>
          <w:p>
            <w:pPr>
              <w:pStyle w:val="Compact"/>
              <w:spacing w:line="240" w:lineRule="auto"/>
            </w:pPr>
            <w:r>
              <w:rPr>
                <w:sz w:val="20"/>
              </w:rPr>
              <w:t xml:space="preserve">+3.3</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3 (0.19)</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+0.880</w:t>
            </w:r>
          </w:p>
        </w:tc>
        <w:tc>
          <w:tcPr/>
          <w:p>
            <w:pPr>
              <w:pStyle w:val="Compact"/>
              <w:spacing w:line="240" w:lineRule="auto"/>
            </w:pPr>
            <w:r>
              <w:rPr>
                <w:sz w:val="20"/>
              </w:rPr>
              <w:t xml:space="preserve">+4.0</w:t>
            </w:r>
          </w:p>
        </w:tc>
        <w:tc>
          <w:tcPr/>
          <w:p>
            <w:pPr>
              <w:pStyle w:val="Compact"/>
              <w:spacing w:line="240" w:lineRule="auto"/>
            </w:pPr>
            <w:r>
              <w:rPr>
                <w:sz w:val="20"/>
              </w:rPr>
              <w:t xml:space="preserve">+0.863</w:t>
            </w:r>
          </w:p>
        </w:tc>
        <w:tc>
          <w:tcPr/>
          <w:p>
            <w:pPr>
              <w:pStyle w:val="Compact"/>
              <w:spacing w:line="240" w:lineRule="auto"/>
            </w:pPr>
            <w:r>
              <w:rPr>
                <w:sz w:val="20"/>
              </w:rPr>
              <w:t xml:space="preserve">+7.9</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+0.867</w:t>
            </w:r>
          </w:p>
        </w:tc>
        <w:tc>
          <w:tcPr/>
          <w:p>
            <w:pPr>
              <w:pStyle w:val="Compact"/>
              <w:spacing w:line="240" w:lineRule="auto"/>
            </w:pPr>
            <w:r>
              <w:rPr>
                <w:sz w:val="20"/>
              </w:rPr>
              <w:t xml:space="preserve">+4.0</w:t>
            </w:r>
          </w:p>
        </w:tc>
        <w:tc>
          <w:tcPr/>
          <w:p>
            <w:pPr>
              <w:pStyle w:val="Compact"/>
              <w:spacing w:line="240" w:lineRule="auto"/>
            </w:pPr>
            <w:r>
              <w:rPr>
                <w:sz w:val="20"/>
              </w:rPr>
              <w:t xml:space="preserve">+0.853</w:t>
            </w:r>
          </w:p>
        </w:tc>
        <w:tc>
          <w:tcPr/>
          <w:p>
            <w:pPr>
              <w:pStyle w:val="Compact"/>
              <w:spacing w:line="240" w:lineRule="auto"/>
            </w:pPr>
            <w:r>
              <w:rPr>
                <w:sz w:val="20"/>
              </w:rPr>
              <w:t xml:space="preserve">+6.8</w:t>
            </w:r>
          </w:p>
        </w:tc>
      </w:tr>
      <w:tr>
        <w:tc>
          <w:tcPr/>
          <w:p>
            <w:pPr>
              <w:pStyle w:val="Compact"/>
              <w:spacing w:line="240" w:lineRule="auto"/>
            </w:pPr>
            <w:r>
              <w:rPr>
                <w:sz w:val="20"/>
              </w:rPr>
              <w:t xml:space="preserve">MaxToki-217M, untrained</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+0.441</w:t>
            </w:r>
          </w:p>
        </w:tc>
        <w:tc>
          <w:tcPr/>
          <w:p>
            <w:pPr>
              <w:pStyle w:val="Compact"/>
              <w:spacing w:line="240" w:lineRule="auto"/>
            </w:pPr>
            <w:r>
              <w:rPr>
                <w:sz w:val="20"/>
              </w:rPr>
              <w:t xml:space="preserve">+4.6</w:t>
            </w:r>
          </w:p>
        </w:tc>
        <w:tc>
          <w:tcPr/>
          <w:p>
            <w:pPr>
              <w:pStyle w:val="Compact"/>
              <w:spacing w:line="240" w:lineRule="auto"/>
            </w:pPr>
            <w:r>
              <w:rPr>
                <w:sz w:val="20"/>
              </w:rPr>
              <w:t xml:space="preserve">+0.443</w:t>
            </w:r>
          </w:p>
        </w:tc>
        <w:tc>
          <w:tcPr/>
          <w:p>
            <w:pPr>
              <w:pStyle w:val="Compact"/>
              <w:spacing w:line="240" w:lineRule="auto"/>
            </w:pPr>
            <w:r>
              <w:rPr>
                <w:sz w:val="20"/>
              </w:rPr>
              <w:t xml:space="preserve">+4.1</w:t>
            </w:r>
          </w:p>
        </w:tc>
      </w:tr>
      <w:tr>
        <w:tc>
          <w:tcPr/>
          <w:p>
            <w:pPr>
              <w:pStyle w:val="Compact"/>
              <w:spacing w:line="240" w:lineRule="auto"/>
            </w:pPr>
            <w:r>
              <w:rPr>
                <w:sz w:val="20"/>
              </w:rPr>
              <w:t xml:space="preserve">scGPT, untrained</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+0.296</w:t>
            </w:r>
          </w:p>
        </w:tc>
        <w:tc>
          <w:tcPr/>
          <w:p>
            <w:pPr>
              <w:pStyle w:val="Compact"/>
              <w:spacing w:line="240" w:lineRule="auto"/>
            </w:pPr>
            <w:r>
              <w:rPr>
                <w:sz w:val="20"/>
              </w:rPr>
              <w:t xml:space="preserve">+2.2</w:t>
            </w:r>
          </w:p>
        </w:tc>
        <w:tc>
          <w:tcPr/>
          <w:p>
            <w:pPr>
              <w:pStyle w:val="Compact"/>
              <w:spacing w:line="240" w:lineRule="auto"/>
            </w:pPr>
            <w:r>
              <w:rPr>
                <w:sz w:val="20"/>
              </w:rPr>
              <w:t xml:space="preserve">+0.238</w:t>
            </w:r>
          </w:p>
        </w:tc>
        <w:tc>
          <w:tcPr/>
          <w:p>
            <w:pPr>
              <w:pStyle w:val="Compact"/>
              <w:spacing w:line="240" w:lineRule="auto"/>
            </w:pPr>
            <w:r>
              <w:rPr>
                <w:sz w:val="20"/>
              </w:rPr>
              <w:t xml:space="preserve">−0.7</w:t>
            </w:r>
          </w:p>
        </w:tc>
      </w:tr>
      <w:tr>
        <w:tc>
          <w:tcPr/>
          <w:p>
            <w:pPr>
              <w:pStyle w:val="Compact"/>
              <w:spacing w:line="240" w:lineRule="auto"/>
            </w:pPr>
            <w:r>
              <w:rPr>
                <w:sz w:val="20"/>
              </w:rPr>
              <w:t xml:space="preserve">STATE, untrained</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+0.761</w:t>
            </w:r>
          </w:p>
        </w:tc>
        <w:tc>
          <w:tcPr/>
          <w:p>
            <w:pPr>
              <w:pStyle w:val="Compact"/>
              <w:spacing w:line="240" w:lineRule="auto"/>
            </w:pPr>
            <w:r>
              <w:rPr>
                <w:sz w:val="20"/>
              </w:rPr>
              <w:t xml:space="preserve">+1.4</w:t>
            </w:r>
          </w:p>
        </w:tc>
        <w:tc>
          <w:tcPr/>
          <w:p>
            <w:pPr>
              <w:pStyle w:val="Compact"/>
              <w:spacing w:line="240" w:lineRule="auto"/>
            </w:pPr>
            <w:r>
              <w:rPr>
                <w:sz w:val="20"/>
              </w:rPr>
              <w:t xml:space="preserve">+0.745</w:t>
            </w:r>
          </w:p>
        </w:tc>
        <w:tc>
          <w:tcPr/>
          <w:p>
            <w:pPr>
              <w:pStyle w:val="Compact"/>
              <w:spacing w:line="240" w:lineRule="auto"/>
            </w:pPr>
            <w:r>
              <w:rPr>
                <w:sz w:val="20"/>
              </w:rPr>
              <w:t xml:space="preserve">+3.8</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w:t>
            </w:r>
          </w:p>
        </w:tc>
        <w:tc>
          <w:tcPr/>
          <w:p>
            <w:pPr>
              <w:pStyle w:val="Compact"/>
              <w:spacing w:line="240" w:lineRule="auto"/>
            </w:pPr>
            <w:r>
              <w:rPr>
                <w:sz w:val="20"/>
              </w:rPr>
              <w:t xml:space="preserve">512</w:t>
            </w:r>
          </w:p>
        </w:tc>
        <w:tc>
          <w:tcPr/>
          <w:p>
            <w:pPr>
              <w:pStyle w:val="Compact"/>
              <w:spacing w:line="240" w:lineRule="auto"/>
            </w:pPr>
            <w:r>
              <w:rPr>
                <w:sz w:val="20"/>
              </w:rPr>
              <w:t xml:space="preserve">4425</w:t>
            </w:r>
          </w:p>
        </w:tc>
        <w:tc>
          <w:tcPr/>
          <w:p>
            <w:pPr>
              <w:pStyle w:val="Compact"/>
              <w:spacing w:line="240" w:lineRule="auto"/>
            </w:pPr>
            <w:r>
              <w:rPr>
                <w:sz w:val="20"/>
              </w:rPr>
              <w:t xml:space="preserve">+0.424</w:t>
            </w:r>
          </w:p>
        </w:tc>
        <w:tc>
          <w:tcPr/>
          <w:p>
            <w:pPr>
              <w:pStyle w:val="Compact"/>
              <w:spacing w:line="240" w:lineRule="auto"/>
            </w:pPr>
            <w:r>
              <w:rPr>
                <w:sz w:val="20"/>
              </w:rPr>
              <w:t xml:space="preserve">−1.3</w:t>
            </w:r>
          </w:p>
        </w:tc>
        <w:tc>
          <w:tcPr/>
          <w:p>
            <w:pPr>
              <w:pStyle w:val="Compact"/>
              <w:spacing w:line="240" w:lineRule="auto"/>
            </w:pPr>
            <w:r>
              <w:rPr>
                <w:sz w:val="20"/>
              </w:rPr>
              <w:t xml:space="preserve">+0.447</w:t>
            </w:r>
          </w:p>
        </w:tc>
        <w:tc>
          <w:tcPr/>
          <w:p>
            <w:pPr>
              <w:pStyle w:val="Compact"/>
              <w:spacing w:line="240" w:lineRule="auto"/>
            </w:pPr>
            <w:r>
              <w:rPr>
                <w:sz w:val="20"/>
              </w:rPr>
              <w:t xml:space="preserve">−1.3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w:t>
            </w:r>
          </w:p>
        </w:tc>
        <w:tc>
          <w:tcPr/>
          <w:p>
            <w:pPr>
              <w:pStyle w:val="Compact"/>
              <w:spacing w:line="240" w:lineRule="auto"/>
            </w:pPr>
            <w:r>
              <w:rPr>
                <w:sz w:val="20"/>
              </w:rPr>
              <w:t xml:space="preserve">256</w:t>
            </w:r>
          </w:p>
        </w:tc>
        <w:tc>
          <w:tcPr/>
          <w:p>
            <w:pPr>
              <w:pStyle w:val="Compact"/>
              <w:spacing w:line="240" w:lineRule="auto"/>
            </w:pPr>
            <w:r>
              <w:rPr>
                <w:sz w:val="20"/>
              </w:rPr>
              <w:t xml:space="preserve">4425</w:t>
            </w:r>
          </w:p>
        </w:tc>
        <w:tc>
          <w:tcPr/>
          <w:p>
            <w:pPr>
              <w:pStyle w:val="Compact"/>
              <w:spacing w:line="240" w:lineRule="auto"/>
            </w:pPr>
            <w:r>
              <w:rPr>
                <w:sz w:val="20"/>
              </w:rPr>
              <w:t xml:space="preserve">+0.218</w:t>
            </w:r>
          </w:p>
        </w:tc>
        <w:tc>
          <w:tcPr/>
          <w:p>
            <w:pPr>
              <w:pStyle w:val="Compact"/>
              <w:spacing w:line="240" w:lineRule="auto"/>
            </w:pPr>
            <w:r>
              <w:rPr>
                <w:sz w:val="20"/>
              </w:rPr>
              <w:t xml:space="preserve">+0.7</w:t>
            </w:r>
          </w:p>
        </w:tc>
        <w:tc>
          <w:tcPr/>
          <w:p>
            <w:pPr>
              <w:pStyle w:val="Compact"/>
              <w:spacing w:line="240" w:lineRule="auto"/>
            </w:pPr>
            <w:r>
              <w:rPr>
                <w:sz w:val="20"/>
              </w:rPr>
              <w:t xml:space="preserve">+0.227</w:t>
            </w:r>
          </w:p>
        </w:tc>
        <w:tc>
          <w:tcPr/>
          <w:p>
            <w:pPr>
              <w:pStyle w:val="Compact"/>
              <w:spacing w:line="240" w:lineRule="auto"/>
            </w:pPr>
            <w:r>
              <w:rPr>
                <w:sz w:val="20"/>
              </w:rPr>
              <w:t xml:space="preserve">+0.3</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w:t>
            </w:r>
          </w:p>
        </w:tc>
        <w:tc>
          <w:tcPr/>
          <w:p>
            <w:pPr>
              <w:pStyle w:val="Compact"/>
              <w:spacing w:line="240" w:lineRule="auto"/>
            </w:pPr>
            <w:r>
              <w:rPr>
                <w:sz w:val="20"/>
              </w:rPr>
              <w:t xml:space="preserve">50</w:t>
            </w:r>
          </w:p>
        </w:tc>
        <w:tc>
          <w:tcPr/>
          <w:p>
            <w:pPr>
              <w:pStyle w:val="Compact"/>
              <w:spacing w:line="240" w:lineRule="auto"/>
            </w:pPr>
            <w:r>
              <w:rPr>
                <w:sz w:val="20"/>
              </w:rPr>
              <w:t xml:space="preserve">4425</w:t>
            </w:r>
          </w:p>
        </w:tc>
        <w:tc>
          <w:tcPr/>
          <w:p>
            <w:pPr>
              <w:pStyle w:val="Compact"/>
              <w:spacing w:line="240" w:lineRule="auto"/>
            </w:pPr>
            <w:r>
              <w:rPr>
                <w:sz w:val="20"/>
              </w:rPr>
              <w:t xml:space="preserve">+0.320</w:t>
            </w:r>
          </w:p>
        </w:tc>
        <w:tc>
          <w:tcPr/>
          <w:p>
            <w:pPr>
              <w:pStyle w:val="Compact"/>
              <w:spacing w:line="240" w:lineRule="auto"/>
            </w:pPr>
            <w:r>
              <w:rPr>
                <w:sz w:val="20"/>
              </w:rPr>
              <w:t xml:space="preserve">−0.4</w:t>
            </w:r>
          </w:p>
        </w:tc>
        <w:tc>
          <w:tcPr/>
          <w:p>
            <w:pPr>
              <w:pStyle w:val="Compact"/>
              <w:spacing w:line="240" w:lineRule="auto"/>
            </w:pPr>
            <w:r>
              <w:rPr>
                <w:sz w:val="20"/>
              </w:rPr>
              <w:t xml:space="preserve">+0.328</w:t>
            </w:r>
          </w:p>
        </w:tc>
        <w:tc>
          <w:tcPr/>
          <w:p>
            <w:pPr>
              <w:pStyle w:val="Compact"/>
              <w:spacing w:line="240" w:lineRule="auto"/>
            </w:pPr>
            <w:r>
              <w:rPr>
                <w:sz w:val="20"/>
              </w:rPr>
              <w:t xml:space="preserve">−0.6</w:t>
            </w:r>
          </w:p>
        </w:tc>
      </w:tr>
    </w:tbl>
    <w:p>
      <w:pPr>
        <w:pStyle w:val="BodyText"/>
      </w:pPr>
      <w:r>
        <w:t xml:space="preserve">All representations use the same 600 cells per cell type, the same two partitions and the same 5000-gene panel. Model vectors average 50 occurrences and centroid vectors 50 expressing cells per entry; the landmark and principal-component versions use all 300 cells of each half. EXCESS measures how reproducible the gene-specific context shift is; functional-z measures organisation along the nuclear/surface axis against 1000 random-gene axes with non-overlapping poles (no rank regression; genes count-balanced in at least 6 of the 12 cell types). A cell-type pair is scored if it has at least 150 count-balanced genes. This keeps all 66 pairs in the per-model columns and 64 pairs in the last two columns, where only shared entries are used. Table 3 uses at least 200, so EXCESS there can differ by up to 0.003.</w:t>
      </w:r>
      <w:r>
        <w:t xml:space="preserve"> </w:t>
      </w:r>
      <w:r>
        <w:t xml:space="preserve">“Genes”</w:t>
      </w:r>
      <w:r>
        <w:t xml:space="preserve"> </w:t>
      </w:r>
      <w:r>
        <w:t xml:space="preserve">is the number of panel genes count-balanced in at least one cell type; each representation has its own count-balanced entries. The last two columns repeat the analysis on the 14,109 (cell type, gene) entries, from 3957 genes, that are count-balanced in every representation. Relative depth is the number of transformer blocks applied divided by the model’s number of blocks. EXCESS values of different architectures should not be ranked against each other, because width and input type differ (Limitations).</w:t>
      </w:r>
    </w:p>
    <w:bookmarkEnd w:id="33"/>
    <w:bookmarkStart w:id="34" w:name="Xaa79eae0fd96ca10d05b63524a818678f984757"/>
    <w:p>
      <w:pPr>
        <w:pStyle w:val="Heading2"/>
      </w:pPr>
      <w:r>
        <w:t xml:space="preserve">Contextualisation is weakly correlated with what the model gains from context in prediction</w:t>
      </w:r>
    </w:p>
    <w:p>
      <w:pPr>
        <w:pStyle w:val="FirstParagraph"/>
      </w:pPr>
      <w:r>
        <w:t xml:space="preserve">If contextualisation serves the autoregressive objective, genes the model contextualises more should gain more from real context in next-gene prediction. We find a weak positive link of this kind.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is weakly related to how much the gene moves between cell types: the partial Spearman correlation, controlling for how often the gene was sampled as a target, is +0.161 (95% CI +0.083 to +0.239). Genes whose representations depend more on context tend, weakly, to be genes whose prediction depends more on context.</w:t>
      </w:r>
    </w:p>
    <w:p>
      <w:pPr>
        <w:pStyle w:val="BodyText"/>
      </w:pPr>
      <w:r>
        <w:t xml:space="preserve">The link holds in MaxToki-1B and beyond cell identity. In the paired design (the same 350 immune cells, positions and donors for both models, with each gene’s movement taken from the 600-cell extractions), the partial correlation is +0.133 (95% CI +0.040 to +0.222) for MaxToki-217M and +0.200 (+0.108 to +0.280) for MaxToki-1B with a random donor. When the donor comes from the same cell type, real context still helps a great deal (mean benefit +10.83 and +10.36 nats, against +12.07 and +11.53 with a random donor), and the correlation stays positive (+0.236, CI +0.147 to +0.322; +0.323, CI +0.242 to +0.400). It is higher than with a random donor in both models, but we did not test this difference, and the two arms use slightly different genes. So most of the benefit of real context is specific to the cell, not to its cell type, and it is somewhat larger for the genes the model contextualises more. These tests used immune cells only.</w:t>
      </w:r>
    </w:p>
    <w:bookmarkEnd w:id="34"/>
    <w:bookmarkEnd w:id="35"/>
    <w:bookmarkStart w:id="37" w:name="discussion"/>
    <w:p>
      <w:pPr>
        <w:pStyle w:val="Heading1"/>
      </w:pPr>
      <w:r>
        <w:t xml:space="preserve">Discussion</w:t>
      </w:r>
    </w:p>
    <w:p>
      <w:pPr>
        <w:pStyle w:val="FirstParagraph"/>
      </w:pPr>
      <w:r>
        <w:t xml:space="preserve">The results characterise how SCFMs represent genes in context and what that representation carries. All four models change a gene’s representation with cell type in a gene-specific and reproducible way. In MaxToki-217M, the only model we measured at every layer, this change is most reproducible in the first one or two layers, while genes keep moving between cell types in later layers. This depth pattern is not shared by every model. The other models were measured at only two or three layers: in scGPT, EXCESS rises with depth (+0.687, +0.813 and +0.872 at layers 2, 4 and 9), in STATE it falls slightly (+0.879, +0.867 and +0.842 at layers 3, 6 and 12), and in MaxToki-1B it is the same at layers 4 and 7 (+0.764). Untrained versions of the three architectures keep part of the change (36–88% of the trained EXCESS), so some contextualisation comes from the architecture and the input alone. Training strengthens it. In MaxToki-217M it also strengthens its alignment with functional axes (functional-z +4.6 before training and +15.5 after); in STATE much of that alignment is already there before training. In both MaxToki sizes the change is weakly correlated, gene by gene, with how much the model’s next-gene predictions in immune cells depend on the cell’s own context, beyond its cell type.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On the nuclear/surface axis, the functional organisation of the change separates MaxToki-217M from scGPT and STATE in every version of the analysis (functional-z +15.5 against +3.7 and +4.0; +16.7 against +1.4 and +5.5 after the rank regression). On the other two axes it does not: on the mitochondrion/cytoskeleton axis STATE is higher after the rank regression (+9.8 against +7.5) but lower with mean expression as the covariate (+7.0 against +9.1), and on the transcription/transport axis the three models are close (+5.0, +3.5 and +4.0). The measure also does not order the other models consistently, so it is not yet a stable way to rank architectures.</w:t>
      </w:r>
    </w:p>
    <w:p>
      <w:pPr>
        <w:pStyle w:val="BodyText"/>
      </w:pPr>
      <w:r>
        <w:t xml:space="preserve">What the change carries is organised by co-expression. In no model is the functional organisation significantly stronger than that of gene sets matched to the functional sets on size and average co-expression (smallest p = 0.07), and modules of strongly co-expressed genes produce more. This test can detect only large differences, so a small functional effect beyond co-expression cannot be ruled out. Expression alone gives part of this picture but not all of it. A representation that places each gene where it is expressed within each cell type also changes in a gene-specific way (EXCESS +0.321 when each vector averages 50 cells, as in the models, and +0.605 with all expressing cells), so a reproducible, gene-specific change is not by itself a sign of learning. EXCESS values of representations with different widths, inputs and sample sizes should not be ranked against each other. But in none of the three expression-only versions is the change organised along functional axes or along co-expressed gene sets: strong co-expression modules reach 1.4–1.5, 1.5 and 0.9–1.0 times the power of random gene sets, against 5.6–10.1 times in MaxToki-217M, 5.0–8.9 in MaxToki-1B, 3.3–4.2 in scGPT and 12.5–18.0 in STATE. So the models move genes along directions that separate co-expressed gene sets much more than these expression-only versions do, for co-expressed sets in general rather than for functional sets in particular. We do not claim that the models add information beyond co-expression; other expression-only constructions, in particular ones that see co-expression between cell types, might come closer. The two direct tests for context-specific gene function are negative in every model. An expression-only representation can pass the directional test (the centroid build with all expressing cells) and nearly pass the target-activity test (the centroid build we use; p = 0.03 before correction), so a pass would not by itself show function beyond expression. The one signal beyond co-expression is static: in STATE, and more weakly in the larger MaxToki-217M extraction, TFs sit closer to their curated targets than to co-expression-matched non-targets, but not more so in the cell types where those targets are active. Compared with the targets of other TFs, the closeness is not clearly specific to each TF’s own targets in either model (STATE: 17 of 24 TFs positive, p = 0.032 before correction; MaxToki-217M: 17 of 26 TFs, p = 0.084), so it may partly reflect where regulators and their usual targets sit in general. scGPT TFs are closer to their own targets than to other TFs’ targets, but not closer than co-expression-matched non-targets, so that result is consistent with co-expression alone. In STATE this closeness is already present before training and, if anything, larger; untrained models without a fixed gene table show none. So it most likely comes from the protein-sequence embeddings that serve as STATE’s gene tokens, not from learning on expression data; we did not run STATE with a random gene table, which would test this directly. For MaxToki-217M we cannot say whether the closeness is learned: we did not run an untrained model on the 1000-cell extraction, and on the 600-cell extraction neither the trained nor the untrained model shows it.</w:t>
      </w:r>
    </w:p>
    <w:p>
      <w:pPr>
        <w:pStyle w:val="BodyText"/>
      </w:pPr>
      <w:r>
        <w:t xml:space="preserve">The steering results do not test co-expression. Both MaxToki sizes read the nuclear/surface direction more than directions built in the same way from random splits of the same genes. In MaxToki-217M part of this effect goes through its two largest hidden dimensions: with them set to zero, the effect is no longer clearly above the splits (p = 0.065). MaxToki-1B also reads the other two functional directions. The random splits mix the two poles, so they are not matched to them on co-expression, and a model that reads co-expressed gene sets would also pass this test. The pushes are about 1.4 to 6 times a gene’s typical (median) natural range along the axis, and each moves half of a cell’s genes at once, so the tests show that the models can read these directions, not that natural context changes along them are used. MaxToki-217M reads the transcription/transport direction in reverse, and its mitochondrion/cytoskeleton direction is not distinct from random splits. The architecture comparison does not contradict the main conclusion. On the nuclear/surface axis STATE organises the change more weakly than MaxToki-217M in every version we ran, and its organisation there disappears when the gene’s mean expression is the covariate (+0.2, against +5.5 with the rank covariate). Against MaxToki-1B the order depends on the gene set: on each model’s own entries STATE is lower (+5.5 against +8.0 after the rank regression), and on the entries shared by all representations it is higher (+6.8 against +4.8). On the other two axes STATE is about as strong as the MaxToki models. scGPT organises the change only weakly. In all four models the organisation stays within the co-expression nulls. The comparison cannot separate input type from the other differences between the models.</w:t>
      </w:r>
    </w:p>
    <w:p>
      <w:pPr>
        <w:pStyle w:val="BodyText"/>
      </w:pPr>
      <w:r>
        <w:t xml:space="preserve">One possible reason why we found no context-specific gene function beyond co-expression is that these models are trained only on expression data. They see which genes are expressed and either their rank order (MaxToki) or their expression level (scGPT and STATE). STATE also gets a fixed protein-sequence embedding for each gene. Their training rewards predicting co-expressed genes. The link between contextualisation and the benefit of real context is consistent with that reading, although the test measures only how far a gene moves, not in which direction. Some context-dependent function acts at the protein level, as in moonlighting proteins that switch function with location or binding partners</w:t>
      </w:r>
      <w:r>
        <w:t xml:space="preserve"> </w:t>
      </w:r>
      <w:r>
        <w:t xml:space="preserve">[39]</w:t>
      </w:r>
      <w:r>
        <w:t xml:space="preserve">, and need not change expression. Other forms, such as cell-type-specific enhancer choice by lineage-determining TFs</w:t>
      </w:r>
      <w:r>
        <w:t xml:space="preserve"> </w:t>
      </w:r>
      <w:r>
        <w:t xml:space="preserve">[40]</w:t>
      </w:r>
      <w:r>
        <w:t xml:space="preserve">, act through target-gene expression and could in principle be visible; our tests did not detect them. STATE’s protein-sequence gene tokens are the same in every cell type, so they cannot carry a gene’s changed role by themselves. We did not test multi-omic models, models that read regulatory DNA sequence together with expression, or much larger expression models.</w:t>
      </w:r>
    </w:p>
    <w:bookmarkStart w:id="36" w:name="limitations"/>
    <w:p>
      <w:pPr>
        <w:pStyle w:val="Heading2"/>
      </w:pPr>
      <w:r>
        <w:t xml:space="preserve">Limitations</w:t>
      </w:r>
    </w:p>
    <w:p>
      <w:pPr>
        <w:pStyle w:val="FirstParagraph"/>
      </w:pPr>
      <w:r>
        <w:t xml:space="preserve">The depth of analysis differs between models. The rank control, the co-expression and tightness nulls, both Level 2 tests and the expression-only comparison were run on the four trained models and three expression-only representations, on the same 600 cells per cell type. The untrained models went through EXCESS, functional-z against random axes and the curated-target test; untrained scGPT and STATE also went through the rank regression on the functional axes. Each untrained model was built once from one random seed, and we built an untrained MaxToki-217M only, not an untrained MaxToki-1B. The Setty replication, the full depth profile and the 1000-cell analyses were run on MaxToki-217M only; on the Setty data we computed only EXCESS and functional-z against random axes. Steering and the prediction link were run on the two MaxToki models only, and the cells that were pushed or scored were immune cells (30 for steering, 350 for the prediction link). We did not steer scGPT or STATE: neither has a next-gene readout comparable to MaxToki’s, and their expression heads would first need a check that they track the input, which we did not do. With 600 cells per cell type fewer genes reach the occurrence cap in many cell types, and only 11 TFs qualified for the curated-target test in the MaxToki models and the expression-only representations (16 for scGPT, 24 for STATE), so that test has little power for those representations. The Level 2 tests were run only with genes count-balanced in at least 6 cell types. Each model has its own count-balanced entries; on the entries shared by all representations EXCESS barely changes, but the functional-z order changes for STATE, scGPT and MaxToki-1B, and only EXCESS and nuclear/surface functional-z were repeated on the shared entries. Functional-z also moves with the draw of random axes, so only clear differences between models should be read as real. EXCESS values should not be ranked across architectures, because widths and input types differ. Input lengths also differ: MaxToki saw each cell’s top 1022 genes by count divided by gene median, scGPT a random 1199 of its expressed genes and STATE the top 2047 by count. scGPT and STATE receive each gene’s expression level; the rank regression used MaxToki’s mean rank on the same cells. Repeating it with mean log-normalised expression left every co-expression-null result and MaxToki’s organisation unchanged but removed STATE’s nuclear/surface organisation (Additional file 1); we did not repeat it for the EXCESS rank regression, the tightness null or the two Level 2 tests.</w:t>
      </w:r>
    </w:p>
    <w:p>
      <w:pPr>
        <w:pStyle w:val="BodyText"/>
      </w:pPr>
      <w:r>
        <w:t xml:space="preserve">The matched co-expression null is wide: depending on the model, an axis would need about 1.5 to 2.9 times the matched-set mean to reach p &lt; 0.05, so this test could detect only a large excess. It also matches only average pairwise co-expression; power depends on how co-expression is distributed within a gene set. Two of the three expression-only representations use correlations within each cell type and barely respond to co-expression. The third is built on axes from all cell types pooled, but each vector is still an average over cells of one cell type, so it may not capture co-expression between cell types either; none of the three responds to co-expressed gene sets. So the contrast between the models and these versions does not show that the models add anything beyond co-expression in the data. The third version’s result also depends on how it is built: with 512 instead of 50 principal components it failed the positive control, and we did not run other numbers of components through the pipeline. Other constructions, such as gene embeddings learned from the same cells or a co-expression network embedding, were not tested and might reproduce more of the organisation. The rank control rests on regressions and a rank-matched comparison; it cannot exclude every way in which position could enter a causal model. Most analyses use one layer per model, at matched relative depth, not the peak layers 1–2 of MaxToki-217M; the other models were not measured at every layer. The steering direction is the context-averaged difference between two gene classes, not the context-specific change itself, and the pushes are large; we did not steer along directions built from gene sets matched to the poles on co-expression, so steering cannot separate function from co-expression; and with 30 random splits, the split-control p values cannot survive a correction for several tests. The prediction link is a correlation across genes, and it controls only for how often a gene was sampled as a target. A gene whose expression varies more from cell to cell could both move more between cell types and gain more from its own context, whatever the model does with that movement. We did not control for this, for example with the gene’s rank change or the spread of its expression, and we did not check whether movement measured in the untrained models or the expression-only representations shows the same link. The Setty data cover a pre-filtered set of genes, unlike the full raw counts of Tabula Sapiens. Cell type is partly tied to tissue and donor. Of the 12 cell types, 5 come from one dataset only: 4 from lung, and kidney epithelial cells, all from a single donor. Most pulmonary alveolar type 1 cells (915 of 1000) also come from one donor. Assay mix differs less: in every cell type at least 86% of cells are 10x 3’ v3. The two halves of a cell type share its tissue, donor and ambient-RNA background, so differences in these between cell types count toward EXCESS and repeat in both halves. We did not measure how large this part is, for example by comparing cell types from the same tissue and donor. In the Setty data all contexts come from one bone-marrow dataset and EXCESS is similar (+0.713), so the effect does not need these differences, but their share in the Tabula Sapiens numbers is unknown. The Level 2 results are negative, but they do not show that context-specific gene function does not exist. Some of it leaves no trace in expression, and the directional test could detect only clear congruence, so weaker effects could be missed. Functional axes are built from direct annotations in one annotation file; the conclusions hold across three axes, but specific z-scores depend on how the poles are defined.</w:t>
      </w:r>
    </w:p>
    <w:bookmarkEnd w:id="36"/>
    <w:bookmarkEnd w:id="37"/>
    <w:bookmarkStart w:id="38" w:name="conclusions"/>
    <w:p>
      <w:pPr>
        <w:pStyle w:val="Heading1"/>
      </w:pPr>
      <w:r>
        <w:t xml:space="preserve">Conclusions</w:t>
      </w:r>
    </w:p>
    <w:p>
      <w:pPr>
        <w:pStyle w:val="FirstParagraph"/>
      </w:pPr>
      <w:r>
        <w:t xml:space="preserve">The four models we tested build contextual gene representations that are worth studying in their own right. A gene’s vector changes with its cell type in a gene-specific, reproducible way. Part of this change comes from the architecture and part from training, and a representation built from expression alone also changes in a gene-specific way. In MaxToki-217M, the only model scanned layer by layer, it is most reproducible in the first one or two layers; scGPT, measured at three layers, shows the opposite trend. In both MaxToki sizes, genes that change more are, weakly, the genes whose next-gene prediction gains more from the cell’s own context. How the change is organised differs between architectures. The organisation follows co-expression: in four models, context does not move genes significantly more along functional axes than along axes built from gene sets with the same co-expression. Context moves genes along axes built from co-expressed gene sets much more in the models than in three expression-only representations of the same cells. Among the things we measured, this is what separates the models from expression alone. Two direct tests for context-specific gene function are negative in every model. So we could not read a gene’s changed role in a new cell type from these models, which is the use that would make them a tool for new hypotheses. Our tests could detect only clear effects, so this does not prove the models lack it, and whether models trained on more than expression can show it was not tested.</w:t>
      </w:r>
    </w:p>
    <w:bookmarkEnd w:id="38"/>
    <w:bookmarkStart w:id="39" w:name="list-of-abbreviations"/>
    <w:p>
      <w:pPr>
        <w:pStyle w:val="Heading1"/>
      </w:pPr>
      <w:r>
        <w:t xml:space="preserve">List of abbreviations</w:t>
      </w:r>
    </w:p>
    <w:p>
      <w:pPr>
        <w:pStyle w:val="FirstParagraph"/>
      </w:pPr>
      <w:r>
        <w:t xml:space="preserve">AUC: area under the receiver operating characteristic curve; CI: confidence interval; ESM2: Evolutionary Scale Modeling 2; GO: Gene Ontology; PC: principal component; ROC: receiver operating characteristic; SCFM: single-cell foundation model; TF: transcription factor; UCE: Universal Cell Embeddings.</w:t>
      </w:r>
    </w:p>
    <w:bookmarkEnd w:id="39"/>
    <w:bookmarkStart w:id="48" w:name="declarations"/>
    <w:p>
      <w:pPr>
        <w:pStyle w:val="Heading1"/>
      </w:pPr>
      <w:r>
        <w:t xml:space="preserve">Declarations</w:t>
      </w:r>
    </w:p>
    <w:bookmarkStart w:id="40"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40"/>
    <w:bookmarkStart w:id="41" w:name="consent-for-publication"/>
    <w:p>
      <w:pPr>
        <w:pStyle w:val="Heading2"/>
      </w:pPr>
      <w:r>
        <w:t xml:space="preserve">Consent for publication</w:t>
      </w:r>
    </w:p>
    <w:p>
      <w:pPr>
        <w:pStyle w:val="FirstParagraph"/>
      </w:pPr>
      <w:r>
        <w:t xml:space="preserve">Not applicable.</w:t>
      </w:r>
    </w:p>
    <w:bookmarkEnd w:id="41"/>
    <w:bookmarkStart w:id="43"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[62]</w:t>
      </w:r>
      <w:r>
        <w:t xml:space="preserve">. The representation tensors for MaxToki-217M, MaxToki-1B, scGPT, STATE, the three untrained models, the three expression-only representations and the Setty data (about 10 GB) are not deposited because of their size. They can be regenerated from the public inputs with the provided extraction scripts and are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42">
        <w:r>
          <w:rPr>
            <w:rStyle w:val="Hyperlink"/>
          </w:rPr>
          <w:t xml:space="preserve">https://github.com/Biodyn-AI/gene-context</w:t>
        </w:r>
      </w:hyperlink>
    </w:p>
    <w:p>
      <w:pPr>
        <w:pStyle w:val="Compact"/>
        <w:numPr>
          <w:ilvl w:val="0"/>
          <w:numId w:val="1002"/>
        </w:numPr>
      </w:pPr>
      <w:r>
        <w:t xml:space="preserve">Archived version: Zenodo archive of the submitted release, DOI [to be added before submission] (tag</w:t>
      </w:r>
      <w:r>
        <w:t xml:space="preserve"> </w:t>
      </w:r>
      <w:r>
        <w:rPr>
          <w:rStyle w:val="VerbatimChar"/>
        </w:rPr>
        <w:t xml:space="preserve">bmc-submission-v3</w:t>
      </w:r>
      <w:r>
        <w:t xml:space="preserve"> </w:t>
      </w:r>
      <w:r>
        <w:t xml:space="preserve">in the project repository)</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matplotlib and openpyxl; for the extraction scripts, PyTorch (2.2 or later) and transformers (4.43 or later); for scGPT, a local copy of the scGPT source code and the whole-human checkpoint</w:t>
      </w:r>
      <w:r>
        <w:t xml:space="preserve"> </w:t>
      </w:r>
      <w:r>
        <w:t xml:space="preserve">[42]</w:t>
      </w:r>
      <w:r>
        <w:t xml:space="preserve"> </w:t>
      </w:r>
      <w:r>
        <w:t xml:space="preserve">(only its model file is imported) and tqdm;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3"/>
    <w:bookmarkStart w:id="44" w:name="competing-interests"/>
    <w:p>
      <w:pPr>
        <w:pStyle w:val="Heading2"/>
      </w:pPr>
      <w:r>
        <w:t xml:space="preserve">Competing interests</w:t>
      </w:r>
    </w:p>
    <w:p>
      <w:pPr>
        <w:pStyle w:val="FirstParagraph"/>
      </w:pPr>
      <w:r>
        <w:t xml:space="preserve">The author declares that he has no competing interests.</w:t>
      </w:r>
    </w:p>
    <w:bookmarkEnd w:id="44"/>
    <w:bookmarkStart w:id="45"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5"/>
    <w:bookmarkStart w:id="46"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6"/>
    <w:bookmarkStart w:id="47"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7"/>
    <w:bookmarkEnd w:id="48"/>
    <w:bookmarkStart w:id="168" w:name="references"/>
    <w:p>
      <w:pPr>
        <w:pStyle w:val="Heading1"/>
      </w:pPr>
      <w:r>
        <w:t xml:space="preserve">References</w:t>
      </w:r>
    </w:p>
    <w:bookmarkStart w:id="167" w:name="refs"/>
    <w:bookmarkStart w:id="49"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9"/>
    <w:bookmarkStart w:id="51"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50">
        <w:r>
          <w:rPr>
            <w:rStyle w:val="Hyperlink"/>
          </w:rPr>
          <w:t xml:space="preserve">https://doi.org/10.18653/v1/2023.blackboxnlp-1.2</w:t>
        </w:r>
      </w:hyperlink>
      <w:r>
        <w:t xml:space="preserve">.</w:t>
      </w:r>
    </w:p>
    <w:bookmarkEnd w:id="51"/>
    <w:bookmarkStart w:id="53" w:name="ref-karvonen2024emergent"/>
    <w:p>
      <w:pPr>
        <w:pStyle w:val="Bibliography"/>
      </w:pPr>
      <w:r>
        <w:t xml:space="preserve">3. Karvonen A. Emergent world models and latent variable estimation in chess-playing language models. arXiv. 2024.</w:t>
      </w:r>
      <w:r>
        <w:t xml:space="preserve"> </w:t>
      </w:r>
      <w:hyperlink r:id="rId52">
        <w:r>
          <w:rPr>
            <w:rStyle w:val="Hyperlink"/>
          </w:rPr>
          <w:t xml:space="preserve">https://doi.org/10.48550/arXiv.2403.15498</w:t>
        </w:r>
      </w:hyperlink>
      <w:r>
        <w:t xml:space="preserve">.</w:t>
      </w:r>
    </w:p>
    <w:bookmarkEnd w:id="53"/>
    <w:bookmarkStart w:id="54"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4"/>
    <w:bookmarkStart w:id="56" w:name="ref-turner2023activation"/>
    <w:p>
      <w:pPr>
        <w:pStyle w:val="Bibliography"/>
      </w:pPr>
      <w:r>
        <w:t xml:space="preserve">5. Turner AM, Thiergart L, Leech G, Udell D, Vazquez JJ, Mini U, et al. Steering language models with activation engineering. arXiv. 2023.</w:t>
      </w:r>
      <w:r>
        <w:t xml:space="preserve"> </w:t>
      </w:r>
      <w:hyperlink r:id="rId55">
        <w:r>
          <w:rPr>
            <w:rStyle w:val="Hyperlink"/>
          </w:rPr>
          <w:t xml:space="preserve">https://doi.org/10.48550/arXiv.2308.10248</w:t>
        </w:r>
      </w:hyperlink>
      <w:r>
        <w:t xml:space="preserve">.</w:t>
      </w:r>
    </w:p>
    <w:bookmarkEnd w:id="56"/>
    <w:bookmarkStart w:id="58"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7">
        <w:r>
          <w:rPr>
            <w:rStyle w:val="Hyperlink"/>
          </w:rPr>
          <w:t xml:space="preserve">https://doi.org/10.48550/arXiv.2310.01405</w:t>
        </w:r>
      </w:hyperlink>
      <w:r>
        <w:t xml:space="preserve">.</w:t>
      </w:r>
    </w:p>
    <w:bookmarkEnd w:id="58"/>
    <w:bookmarkStart w:id="59"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9"/>
    <w:bookmarkStart w:id="61"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60">
        <w:r>
          <w:rPr>
            <w:rStyle w:val="Hyperlink"/>
          </w:rPr>
          <w:t xml:space="preserve">https://doi.org/10.18653/v1/N18-1202</w:t>
        </w:r>
      </w:hyperlink>
      <w:r>
        <w:t xml:space="preserve">.</w:t>
      </w:r>
    </w:p>
    <w:bookmarkEnd w:id="61"/>
    <w:bookmarkStart w:id="63"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62">
        <w:r>
          <w:rPr>
            <w:rStyle w:val="Hyperlink"/>
          </w:rPr>
          <w:t xml:space="preserve">https://doi.org/10.18653/v1/D19-1006</w:t>
        </w:r>
      </w:hyperlink>
      <w:r>
        <w:t xml:space="preserve">.</w:t>
      </w:r>
    </w:p>
    <w:bookmarkEnd w:id="63"/>
    <w:bookmarkStart w:id="64"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4"/>
    <w:bookmarkStart w:id="65"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5"/>
    <w:bookmarkStart w:id="67"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6">
        <w:r>
          <w:rPr>
            <w:rStyle w:val="Hyperlink"/>
          </w:rPr>
          <w:t xml:space="preserve">https://openreview.net/forum?id=xYGNO86OWDH</w:t>
        </w:r>
      </w:hyperlink>
      <w:r>
        <w:t xml:space="preserve">. Accessed 1 Oct 2026.</w:t>
      </w:r>
    </w:p>
    <w:bookmarkEnd w:id="67"/>
    <w:bookmarkStart w:id="69"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8">
        <w:r>
          <w:rPr>
            <w:rStyle w:val="Hyperlink"/>
          </w:rPr>
          <w:t xml:space="preserve">https://doi.org/10.18653/v1/2021.emnlp-main.372</w:t>
        </w:r>
      </w:hyperlink>
      <w:r>
        <w:t xml:space="preserve">.</w:t>
      </w:r>
    </w:p>
    <w:bookmarkEnd w:id="69"/>
    <w:bookmarkStart w:id="71"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70">
        <w:r>
          <w:rPr>
            <w:rStyle w:val="Hyperlink"/>
          </w:rPr>
          <w:t xml:space="preserve">https://doi.org/10.1038/s41586-023-06139-9</w:t>
        </w:r>
      </w:hyperlink>
      <w:r>
        <w:t xml:space="preserve">.</w:t>
      </w:r>
    </w:p>
    <w:bookmarkEnd w:id="71"/>
    <w:bookmarkStart w:id="73"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72">
        <w:r>
          <w:rPr>
            <w:rStyle w:val="Hyperlink"/>
          </w:rPr>
          <w:t xml:space="preserve">https://doi.org/10.1038/s41592-024-02201-0</w:t>
        </w:r>
      </w:hyperlink>
      <w:r>
        <w:t xml:space="preserve">.</w:t>
      </w:r>
    </w:p>
    <w:bookmarkEnd w:id="73"/>
    <w:bookmarkStart w:id="75" w:name="ref-scfoundation2024"/>
    <w:p>
      <w:pPr>
        <w:pStyle w:val="Bibliography"/>
      </w:pPr>
      <w:r>
        <w:t xml:space="preserve">16. Hao M, Gong J, Zeng X, Liu C, Guo Y, Cheng X, et al. Large-scale foundation model on single-cell transcriptomics. Nat Methods. 2024;21:1481–91.</w:t>
      </w:r>
      <w:r>
        <w:t xml:space="preserve"> </w:t>
      </w:r>
      <w:hyperlink r:id="rId74">
        <w:r>
          <w:rPr>
            <w:rStyle w:val="Hyperlink"/>
          </w:rPr>
          <w:t xml:space="preserve">https://doi.org/10.1038/s41592-024-02305-7</w:t>
        </w:r>
      </w:hyperlink>
      <w:r>
        <w:t xml:space="preserve">.</w:t>
      </w:r>
    </w:p>
    <w:bookmarkEnd w:id="75"/>
    <w:bookmarkStart w:id="77"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6">
        <w:r>
          <w:rPr>
            <w:rStyle w:val="Hyperlink"/>
          </w:rPr>
          <w:t xml:space="preserve">https://doi.org/10.1038/s42256-022-00534-z</w:t>
        </w:r>
      </w:hyperlink>
      <w:r>
        <w:t xml:space="preserve">.</w:t>
      </w:r>
    </w:p>
    <w:bookmarkEnd w:id="77"/>
    <w:bookmarkStart w:id="79"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8">
        <w:r>
          <w:rPr>
            <w:rStyle w:val="Hyperlink"/>
          </w:rPr>
          <w:t xml:space="preserve">https://doi.org/10.2139/ssrn.6577900</w:t>
        </w:r>
      </w:hyperlink>
      <w:r>
        <w:t xml:space="preserve">.</w:t>
      </w:r>
    </w:p>
    <w:bookmarkEnd w:id="79"/>
    <w:bookmarkStart w:id="81"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80">
        <w:r>
          <w:rPr>
            <w:rStyle w:val="Hyperlink"/>
          </w:rPr>
          <w:t xml:space="preserve">https://doi.org/10.1093/nsr/nwae340</w:t>
        </w:r>
      </w:hyperlink>
      <w:r>
        <w:t xml:space="preserve">.</w:t>
      </w:r>
    </w:p>
    <w:bookmarkEnd w:id="81"/>
    <w:bookmarkStart w:id="83" w:name="ref-Gilpin2025CellToken"/>
    <w:p>
      <w:pPr>
        <w:pStyle w:val="Bibliography"/>
      </w:pPr>
      <w:r>
        <w:t xml:space="preserve">20. Gilpin W. The cell as a token: High-dimensional geometry in language models and cell embeddings. Bioinformatics. 2025;41:btaf595.</w:t>
      </w:r>
      <w:r>
        <w:t xml:space="preserve"> </w:t>
      </w:r>
      <w:hyperlink r:id="rId82">
        <w:r>
          <w:rPr>
            <w:rStyle w:val="Hyperlink"/>
          </w:rPr>
          <w:t xml:space="preserve">https://doi.org/10.1093/bioinformatics/btaf595</w:t>
        </w:r>
      </w:hyperlink>
      <w:r>
        <w:t xml:space="preserve">.</w:t>
      </w:r>
    </w:p>
    <w:bookmarkEnd w:id="83"/>
    <w:bookmarkStart w:id="85"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4">
        <w:r>
          <w:rPr>
            <w:rStyle w:val="Hyperlink"/>
          </w:rPr>
          <w:t xml:space="preserve">https://doi.org/10.1162/tacl_a_00400</w:t>
        </w:r>
      </w:hyperlink>
      <w:r>
        <w:t xml:space="preserve">.</w:t>
      </w:r>
    </w:p>
    <w:bookmarkEnd w:id="85"/>
    <w:bookmarkStart w:id="87"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6">
        <w:r>
          <w:rPr>
            <w:rStyle w:val="Hyperlink"/>
          </w:rPr>
          <w:t xml:space="preserve">https://transformer-circuits.pub/2024/scaling-monosemanticity/</w:t>
        </w:r>
      </w:hyperlink>
      <w:r>
        <w:t xml:space="preserve">. Accessed 1 Oct 2026.</w:t>
      </w:r>
    </w:p>
    <w:bookmarkEnd w:id="87"/>
    <w:bookmarkStart w:id="89"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8">
        <w:r>
          <w:rPr>
            <w:rStyle w:val="Hyperlink"/>
          </w:rPr>
          <w:t xml:space="preserve">https://doi.org/10.1038/s41586-026-10689-z</w:t>
        </w:r>
      </w:hyperlink>
      <w:r>
        <w:t xml:space="preserve">.</w:t>
      </w:r>
    </w:p>
    <w:bookmarkEnd w:id="89"/>
    <w:bookmarkStart w:id="91"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90">
        <w:r>
          <w:rPr>
            <w:rStyle w:val="Hyperlink"/>
          </w:rPr>
          <w:t xml:space="preserve">https://doi.org/10.1016/j.cell.2026.07.052</w:t>
        </w:r>
      </w:hyperlink>
      <w:r>
        <w:t xml:space="preserve">.</w:t>
      </w:r>
    </w:p>
    <w:bookmarkEnd w:id="91"/>
    <w:bookmarkStart w:id="93"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92">
        <w:r>
          <w:rPr>
            <w:rStyle w:val="Hyperlink"/>
          </w:rPr>
          <w:t xml:space="preserve">https://doi.org/10.64898/2026.03.30.715396</w:t>
        </w:r>
      </w:hyperlink>
      <w:r>
        <w:t xml:space="preserve">.</w:t>
      </w:r>
    </w:p>
    <w:bookmarkEnd w:id="93"/>
    <w:bookmarkStart w:id="95" w:name="ref-kend2026spectral"/>
    <w:p>
      <w:pPr>
        <w:pStyle w:val="Bibliography"/>
      </w:pPr>
      <w:r>
        <w:t xml:space="preserve">26. Kendiukhov I. Multi-dimensional spectral geometry of biological knowledge in single-cell transformer representations. arXiv. 2026.</w:t>
      </w:r>
      <w:r>
        <w:t xml:space="preserve"> </w:t>
      </w:r>
      <w:hyperlink r:id="rId94">
        <w:r>
          <w:rPr>
            <w:rStyle w:val="Hyperlink"/>
          </w:rPr>
          <w:t xml:space="preserve">https://doi.org/10.48550/arXiv.2602.22247</w:t>
        </w:r>
      </w:hyperlink>
      <w:r>
        <w:t xml:space="preserve">.</w:t>
      </w:r>
    </w:p>
    <w:bookmarkEnd w:id="95"/>
    <w:bookmarkStart w:id="97"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6">
        <w:r>
          <w:rPr>
            <w:rStyle w:val="Hyperlink"/>
          </w:rPr>
          <w:t xml:space="preserve">https://doi.org/10.1371/journal.pone.0344826</w:t>
        </w:r>
      </w:hyperlink>
      <w:r>
        <w:t xml:space="preserve">.</w:t>
      </w:r>
    </w:p>
    <w:bookmarkEnd w:id="97"/>
    <w:bookmarkStart w:id="99"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8">
        <w:r>
          <w:rPr>
            <w:rStyle w:val="Hyperlink"/>
          </w:rPr>
          <w:t xml:space="preserve">https://doi.org/10.1186/s12859-026-06538-5</w:t>
        </w:r>
      </w:hyperlink>
      <w:r>
        <w:t xml:space="preserve">.</w:t>
      </w:r>
    </w:p>
    <w:bookmarkEnd w:id="99"/>
    <w:bookmarkStart w:id="101"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100">
        <w:r>
          <w:rPr>
            <w:rStyle w:val="Hyperlink"/>
          </w:rPr>
          <w:t xml:space="preserve">https://doi.org/10.1186/s13059-025-03574-x</w:t>
        </w:r>
      </w:hyperlink>
      <w:r>
        <w:t xml:space="preserve">.</w:t>
      </w:r>
    </w:p>
    <w:bookmarkEnd w:id="101"/>
    <w:bookmarkStart w:id="103" w:name="ref-boiarsky2024deeper"/>
    <w:p>
      <w:pPr>
        <w:pStyle w:val="Bibliography"/>
      </w:pPr>
      <w:r>
        <w:t xml:space="preserve">30. Boiarsky R, Singh NM, Buendia A, Amini AP, Getz G, Sontag D. Deeper evaluation of a single-cell foundation model. Nat Mach Intell. 2024;6:1443–6.</w:t>
      </w:r>
      <w:r>
        <w:t xml:space="preserve"> </w:t>
      </w:r>
      <w:hyperlink r:id="rId102">
        <w:r>
          <w:rPr>
            <w:rStyle w:val="Hyperlink"/>
          </w:rPr>
          <w:t xml:space="preserve">https://doi.org/10.1038/s42256-024-00949-w</w:t>
        </w:r>
      </w:hyperlink>
      <w:r>
        <w:t xml:space="preserve">.</w:t>
      </w:r>
    </w:p>
    <w:bookmarkEnd w:id="103"/>
    <w:bookmarkStart w:id="105"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4">
        <w:r>
          <w:rPr>
            <w:rStyle w:val="Hyperlink"/>
          </w:rPr>
          <w:t xml:space="preserve">https://doi.org/10.1038/s41592-025-02772-6</w:t>
        </w:r>
      </w:hyperlink>
      <w:r>
        <w:t xml:space="preserve">.</w:t>
      </w:r>
    </w:p>
    <w:bookmarkEnd w:id="105"/>
    <w:bookmarkStart w:id="107"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6">
        <w:r>
          <w:rPr>
            <w:rStyle w:val="Hyperlink"/>
          </w:rPr>
          <w:t xml:space="preserve">https://doi.org/10.48550/arXiv.2410.13956</w:t>
        </w:r>
      </w:hyperlink>
      <w:r>
        <w:t xml:space="preserve">.</w:t>
      </w:r>
    </w:p>
    <w:bookmarkEnd w:id="107"/>
    <w:bookmarkStart w:id="109" w:name="ref-liu2026sceval"/>
    <w:p>
      <w:pPr>
        <w:pStyle w:val="Bibliography"/>
      </w:pPr>
      <w:r>
        <w:t xml:space="preserve">33. Liu T, Li K, Wang Y, Li H, Zhao H. Evaluating the utilities of foundation models in single-cell data analysis. Adv Sci. 2026;13:e14490.</w:t>
      </w:r>
      <w:r>
        <w:t xml:space="preserve"> </w:t>
      </w:r>
      <w:hyperlink r:id="rId108">
        <w:r>
          <w:rPr>
            <w:rStyle w:val="Hyperlink"/>
          </w:rPr>
          <w:t xml:space="preserve">https://doi.org/10.1002/advs.202514490</w:t>
        </w:r>
      </w:hyperlink>
      <w:r>
        <w:t xml:space="preserve">.</w:t>
      </w:r>
    </w:p>
    <w:bookmarkEnd w:id="109"/>
    <w:bookmarkStart w:id="111"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10">
        <w:r>
          <w:rPr>
            <w:rStyle w:val="Hyperlink"/>
          </w:rPr>
          <w:t xml:space="preserve">https://doi.org/10.48550/arXiv.2603.02952</w:t>
        </w:r>
      </w:hyperlink>
      <w:r>
        <w:t xml:space="preserve">.</w:t>
      </w:r>
    </w:p>
    <w:bookmarkEnd w:id="111"/>
    <w:bookmarkStart w:id="113"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12">
        <w:r>
          <w:rPr>
            <w:rStyle w:val="Hyperlink"/>
          </w:rPr>
          <w:t xml:space="preserve">https://doi.org/10.1186/s12864-026-12965-8</w:t>
        </w:r>
      </w:hyperlink>
      <w:r>
        <w:t xml:space="preserve">.</w:t>
      </w:r>
    </w:p>
    <w:bookmarkEnd w:id="113"/>
    <w:bookmarkStart w:id="115"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4">
        <w:r>
          <w:rPr>
            <w:rStyle w:val="Hyperlink"/>
          </w:rPr>
          <w:t xml:space="preserve">https://doi.org/10.1093/bib/bbw139</w:t>
        </w:r>
      </w:hyperlink>
      <w:r>
        <w:t xml:space="preserve">.</w:t>
      </w:r>
    </w:p>
    <w:bookmarkEnd w:id="115"/>
    <w:bookmarkStart w:id="117"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6">
        <w:r>
          <w:rPr>
            <w:rStyle w:val="Hyperlink"/>
          </w:rPr>
          <w:t xml:space="preserve">https://doi.org/10.1186/s12864-018-5370-x</w:t>
        </w:r>
      </w:hyperlink>
      <w:r>
        <w:t xml:space="preserve">.</w:t>
      </w:r>
    </w:p>
    <w:bookmarkEnd w:id="117"/>
    <w:bookmarkStart w:id="119"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8">
        <w:r>
          <w:rPr>
            <w:rStyle w:val="Hyperlink"/>
          </w:rPr>
          <w:t xml:space="preserve">https://doi.org/10.1038/s41551-024-01284-6</w:t>
        </w:r>
      </w:hyperlink>
      <w:r>
        <w:t xml:space="preserve">.</w:t>
      </w:r>
    </w:p>
    <w:bookmarkEnd w:id="119"/>
    <w:bookmarkStart w:id="121" w:name="ref-Jeffery1999Moonlighting"/>
    <w:p>
      <w:pPr>
        <w:pStyle w:val="Bibliography"/>
      </w:pPr>
      <w:r>
        <w:t xml:space="preserve">39. Jeffery CJ. Moonlighting proteins. Trends Biochem Sci. 1999;24:8–11.</w:t>
      </w:r>
      <w:r>
        <w:t xml:space="preserve"> </w:t>
      </w:r>
      <w:hyperlink r:id="rId120">
        <w:r>
          <w:rPr>
            <w:rStyle w:val="Hyperlink"/>
          </w:rPr>
          <w:t xml:space="preserve">https://doi.org/10.1016/S0968-0004(98)01335-8</w:t>
        </w:r>
      </w:hyperlink>
      <w:r>
        <w:t xml:space="preserve">.</w:t>
      </w:r>
    </w:p>
    <w:bookmarkEnd w:id="121"/>
    <w:bookmarkStart w:id="123"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22">
        <w:r>
          <w:rPr>
            <w:rStyle w:val="Hyperlink"/>
          </w:rPr>
          <w:t xml:space="preserve">https://doi.org/10.1016/j.molcel.2010.05.004</w:t>
        </w:r>
      </w:hyperlink>
      <w:r>
        <w:t xml:space="preserve">.</w:t>
      </w:r>
    </w:p>
    <w:bookmarkEnd w:id="123"/>
    <w:bookmarkStart w:id="125"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4">
        <w:r>
          <w:rPr>
            <w:rStyle w:val="Hyperlink"/>
          </w:rPr>
          <w:t xml:space="preserve">https://huggingface.co/theodoris-lab/MaxToki</w:t>
        </w:r>
      </w:hyperlink>
      <w:r>
        <w:t xml:space="preserve">. Accessed 1 Oct 2026.</w:t>
      </w:r>
    </w:p>
    <w:bookmarkEnd w:id="125"/>
    <w:bookmarkStart w:id="127"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6">
        <w:r>
          <w:rPr>
            <w:rStyle w:val="Hyperlink"/>
          </w:rPr>
          <w:t xml:space="preserve">https://github.com/bowang-lab/scGPT</w:t>
        </w:r>
      </w:hyperlink>
      <w:r>
        <w:t xml:space="preserve">. Accessed 1 Oct 2026.</w:t>
      </w:r>
    </w:p>
    <w:bookmarkEnd w:id="127"/>
    <w:bookmarkStart w:id="129"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8">
        <w:r>
          <w:rPr>
            <w:rStyle w:val="Hyperlink"/>
          </w:rPr>
          <w:t xml:space="preserve">https://huggingface.co/arcinstitute/SE-600M</w:t>
        </w:r>
      </w:hyperlink>
      <w:r>
        <w:t xml:space="preserve">. Accessed 1 Oct 2026.</w:t>
      </w:r>
    </w:p>
    <w:bookmarkEnd w:id="129"/>
    <w:bookmarkStart w:id="131"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30">
        <w:r>
          <w:rPr>
            <w:rStyle w:val="Hyperlink"/>
          </w:rPr>
          <w:t xml:space="preserve">https://doi.org/10.1126/science.ade2574</w:t>
        </w:r>
      </w:hyperlink>
      <w:r>
        <w:t xml:space="preserve">.</w:t>
      </w:r>
    </w:p>
    <w:bookmarkEnd w:id="131"/>
    <w:bookmarkStart w:id="133"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32">
        <w:r>
          <w:rPr>
            <w:rStyle w:val="Hyperlink"/>
          </w:rPr>
          <w:t xml:space="preserve">https://doi.org/10.1126/science.abl4896</w:t>
        </w:r>
      </w:hyperlink>
      <w:r>
        <w:t xml:space="preserve">.</w:t>
      </w:r>
    </w:p>
    <w:bookmarkEnd w:id="133"/>
    <w:bookmarkStart w:id="135"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4">
        <w:r>
          <w:rPr>
            <w:rStyle w:val="Hyperlink"/>
          </w:rPr>
          <w:t xml:space="preserve">https://doi.org/10.1093/nar/gkae1142</w:t>
        </w:r>
      </w:hyperlink>
      <w:r>
        <w:t xml:space="preserve">.</w:t>
      </w:r>
    </w:p>
    <w:bookmarkEnd w:id="135"/>
    <w:bookmarkStart w:id="137"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6">
        <w:r>
          <w:rPr>
            <w:rStyle w:val="Hyperlink"/>
          </w:rPr>
          <w:t xml:space="preserve">https://datasets.cellxgene.cziscience.com/e62b0182-368f-4875-8ac1-f49e3d5eda60.h5ad</w:t>
        </w:r>
      </w:hyperlink>
      <w:r>
        <w:t xml:space="preserve">. Accessed 1 Oct 2026.</w:t>
      </w:r>
    </w:p>
    <w:bookmarkEnd w:id="137"/>
    <w:bookmarkStart w:id="139"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8">
        <w:r>
          <w:rPr>
            <w:rStyle w:val="Hyperlink"/>
          </w:rPr>
          <w:t xml:space="preserve">https://datasets.cellxgene.cziscience.com/65ca6e36-73b0-4c88-b0f3-7b23b48844ad.h5ad</w:t>
        </w:r>
      </w:hyperlink>
      <w:r>
        <w:t xml:space="preserve">. Accessed 1 Oct 2026.</w:t>
      </w:r>
    </w:p>
    <w:bookmarkEnd w:id="139"/>
    <w:bookmarkStart w:id="141"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40">
        <w:r>
          <w:rPr>
            <w:rStyle w:val="Hyperlink"/>
          </w:rPr>
          <w:t xml:space="preserve">https://datasets.cellxgene.cziscience.com/40f8b1a3-9f76-4ac4-8761-32078555ed4e.h5ad</w:t>
        </w:r>
      </w:hyperlink>
      <w:r>
        <w:t xml:space="preserve">. Accessed 1 Oct 2026.</w:t>
      </w:r>
    </w:p>
    <w:bookmarkEnd w:id="141"/>
    <w:bookmarkStart w:id="143"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42">
        <w:r>
          <w:rPr>
            <w:rStyle w:val="Hyperlink"/>
          </w:rPr>
          <w:t xml:space="preserve">https://doi.org/10.1038/s41587-019-0068-4</w:t>
        </w:r>
      </w:hyperlink>
      <w:r>
        <w:t xml:space="preserve">.</w:t>
      </w:r>
    </w:p>
    <w:bookmarkEnd w:id="143"/>
    <w:bookmarkStart w:id="145"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4">
        <w:r>
          <w:rPr>
            <w:rStyle w:val="Hyperlink"/>
          </w:rPr>
          <w:t xml:space="preserve">https://doi.org/10.1038/s41587-020-0591-3</w:t>
        </w:r>
      </w:hyperlink>
      <w:r>
        <w:t xml:space="preserve">.</w:t>
      </w:r>
    </w:p>
    <w:bookmarkEnd w:id="145"/>
    <w:bookmarkStart w:id="147"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6">
        <w:r>
          <w:rPr>
            <w:rStyle w:val="Hyperlink"/>
          </w:rPr>
          <w:t xml:space="preserve">https://ndownloader.figshare.com/files/27686835</w:t>
        </w:r>
      </w:hyperlink>
      <w:r>
        <w:t xml:space="preserve">. Accessed 1 Oct 2026.</w:t>
      </w:r>
    </w:p>
    <w:bookmarkEnd w:id="147"/>
    <w:bookmarkStart w:id="149"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8">
        <w:r>
          <w:rPr>
            <w:rStyle w:val="Hyperlink"/>
          </w:rPr>
          <w:t xml:space="preserve">https://doi.org/10.1038/75556</w:t>
        </w:r>
      </w:hyperlink>
      <w:r>
        <w:t xml:space="preserve">.</w:t>
      </w:r>
    </w:p>
    <w:bookmarkEnd w:id="149"/>
    <w:bookmarkStart w:id="151"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50">
        <w:r>
          <w:rPr>
            <w:rStyle w:val="Hyperlink"/>
          </w:rPr>
          <w:t xml:space="preserve">https://doi.org/10.1093/genetics/iyad031</w:t>
        </w:r>
      </w:hyperlink>
      <w:r>
        <w:t xml:space="preserve">.</w:t>
      </w:r>
    </w:p>
    <w:bookmarkEnd w:id="151"/>
    <w:bookmarkStart w:id="153"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52">
        <w:r>
          <w:rPr>
            <w:rStyle w:val="Hyperlink"/>
          </w:rPr>
          <w:t xml:space="preserve">https://doi.org/10.1038/s41587-023-01905-6</w:t>
        </w:r>
      </w:hyperlink>
      <w:r>
        <w:t xml:space="preserve">.</w:t>
      </w:r>
    </w:p>
    <w:bookmarkEnd w:id="153"/>
    <w:bookmarkStart w:id="155"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4">
        <w:r>
          <w:rPr>
            <w:rStyle w:val="Hyperlink"/>
          </w:rPr>
          <w:t xml:space="preserve">https://dataverse.harvard.edu/api/access/datafile/6153417</w:t>
        </w:r>
      </w:hyperlink>
      <w:r>
        <w:t xml:space="preserve">. Accessed 1 Oct 2026.</w:t>
      </w:r>
    </w:p>
    <w:bookmarkEnd w:id="155"/>
    <w:bookmarkStart w:id="157"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6">
        <w:r>
          <w:rPr>
            <w:rStyle w:val="Hyperlink"/>
          </w:rPr>
          <w:t xml:space="preserve">https://doi.org/10.1093/nar/gkx1013</w:t>
        </w:r>
      </w:hyperlink>
      <w:r>
        <w:t xml:space="preserve">.</w:t>
      </w:r>
    </w:p>
    <w:bookmarkEnd w:id="157"/>
    <w:bookmarkStart w:id="159"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8">
        <w:r>
          <w:rPr>
            <w:rStyle w:val="Hyperlink"/>
          </w:rPr>
          <w:t xml:space="preserve">https://www.grnpedia.org/trrust/</w:t>
        </w:r>
      </w:hyperlink>
      <w:r>
        <w:t xml:space="preserve">. Accessed 1 Oct 2026.</w:t>
      </w:r>
    </w:p>
    <w:bookmarkEnd w:id="159"/>
    <w:bookmarkStart w:id="161"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60">
        <w:r>
          <w:rPr>
            <w:rStyle w:val="Hyperlink"/>
          </w:rPr>
          <w:t xml:space="preserve">https://doi.org/10.1101/gr.240663.118</w:t>
        </w:r>
      </w:hyperlink>
      <w:r>
        <w:t xml:space="preserve">.</w:t>
      </w:r>
    </w:p>
    <w:bookmarkEnd w:id="161"/>
    <w:bookmarkStart w:id="163"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62">
        <w:r>
          <w:rPr>
            <w:rStyle w:val="Hyperlink"/>
          </w:rPr>
          <w:t xml:space="preserve">https://github.com/saezlab/dorothea</w:t>
        </w:r>
      </w:hyperlink>
      <w:r>
        <w:t xml:space="preserve">. Accessed 1 Oct 2026.</w:t>
      </w:r>
    </w:p>
    <w:bookmarkEnd w:id="163"/>
    <w:bookmarkStart w:id="165" w:name="ref-web_geneformer"/>
    <w:p>
      <w:pPr>
        <w:pStyle w:val="Bibliography"/>
      </w:pPr>
      <w:r>
        <w:t xml:space="preserve">61. Theodoris CV. Geneformer: Gene name, gene median and token dictionaries. Hugging Face.</w:t>
      </w:r>
      <w:r>
        <w:t xml:space="preserve"> </w:t>
      </w:r>
      <w:hyperlink r:id="rId164">
        <w:r>
          <w:rPr>
            <w:rStyle w:val="Hyperlink"/>
          </w:rPr>
          <w:t xml:space="preserve">https://huggingface.co/ctheodoris/Geneformer</w:t>
        </w:r>
      </w:hyperlink>
      <w:r>
        <w:t xml:space="preserve">. Accessed 1 Oct 2026.</w:t>
      </w:r>
    </w:p>
    <w:bookmarkEnd w:id="165"/>
    <w:bookmarkStart w:id="166" w:name="ref-web_repo"/>
    <w:p>
      <w:pPr>
        <w:pStyle w:val="Bibliography"/>
      </w:pPr>
      <w:r>
        <w:t xml:space="preserve">62. Kendiukhov I.</w:t>
      </w:r>
      <w:r>
        <w:t xml:space="preserve"> </w:t>
      </w:r>
      <w:r>
        <w:t xml:space="preserve">gene-context</w:t>
      </w:r>
      <w:r>
        <w:t xml:space="preserve">: Analysis code, result files and figures for this study. GitHub. 2026.</w:t>
      </w:r>
      <w:r>
        <w:t xml:space="preserve"> </w:t>
      </w:r>
      <w:hyperlink r:id="rId42">
        <w:r>
          <w:rPr>
            <w:rStyle w:val="Hyperlink"/>
          </w:rPr>
          <w:t xml:space="preserve">https://github.com/Biodyn-AI/gene-context</w:t>
        </w:r>
      </w:hyperlink>
      <w:r>
        <w:t xml:space="preserve">. Accessed 1 Oct 2026.</w:t>
      </w:r>
    </w:p>
    <w:bookmarkEnd w:id="166"/>
    <w:bookmarkEnd w:id="167"/>
    <w:bookmarkEnd w:id="168"/>
    <w:bookmarkStart w:id="169"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(the agreement, as a cosine, of a gene’s relative context shift between two independent halves of the cells, minus the same agreement for a randomly paired gene; Table 1) in MaxToki-217M (main extraction, 1000 cells per cell type) at layers 4, 8 and 11 for genes whose rank changes little between cell types (rank-stable, below the median rank change), genes whose rank changes a lot (rank-moving, above the median), and all genes after a linear regression of the shift on the gene’s ranks and rank change. The response is about the same for rank-stable and rank-moving genes, and 99%, 98% and 97% of it survives the rank regression at layers 4, 8 and 11 (a regression with curved rank terms gives almost the same; Results).</w:t>
      </w:r>
    </w:p>
    <w:p>
      <w:pPr>
        <w:pStyle w:val="BodyText"/>
      </w:pPr>
      <w:r>
        <w:rPr>
          <w:b/>
          <w:bCs/>
        </w:rPr>
        <w:t xml:space="preserve">Figure 3. Functional organisation compared with random and co-expression nulls.</w:t>
      </w:r>
      <w:r>
        <w:t xml:space="preserve"> </w:t>
      </w:r>
      <w:r>
        <w:t xml:space="preserve">For each of the three functional axes with well-separated poles (MaxToki-217M, main extraction with 1000 cells per cell type,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We added the nuclear/surface direction at the layer-4 representation of half of each cell’s genes (MaxToki-217M, 30 immune cells) and read the model’s logits at the other, untouched half. The y axis is the signed swing: the specificity (the change in mean logit of nuclear-pole genes minus that of surface-pole genes) after a push toward the nuclear pole, minus the specificity after a push toward the surface pole. The x axis is steering strength, in multiples of the mean residual-stream norm. Blue: functional direction (mean ± standard error over 30 cells). Grey: random direction of the same norm, drawn fresh for each cell. Only the nuclear/surface direction is shown. In the same test, the mitochondrion/cytoskeleton direction has no significant effect at strengths 0.25 and 0.5, and the transcription/transport direction has a reversed effect (Results).</w:t>
      </w:r>
    </w:p>
    <w:p>
      <w:pPr>
        <w:pStyle w:val="BodyText"/>
      </w:pPr>
      <w:r>
        <w:rPr>
          <w:b/>
          <w:bCs/>
        </w:rPr>
        <w:t xml:space="preserve">Figure 5. Contextualisation strength and functional organisation of every representation on the same cells.</w:t>
      </w:r>
      <w:r>
        <w:t xml:space="preserve"> </w:t>
      </w:r>
      <w:r>
        <w:t xml:space="preserve">Left: EXCESS (agreement of the same gene’s context shift between two halves of the cells, minus that for a randomly paired gene; as in Fig. 2); values of different architectures should not be ranked against each other, because widths and input types differ. Right: functional-z for the nuclear/surface axis against 1000 random-gene axes (no rank regression; genes count-balanced in at least 6 of the 12 cell types). Blue: trained models at depth-matched layers (MaxToki-217M layer 4, MaxToki-1B layer 7, scGPT layer 4, STATE layer 6). Grey: untrained versions of the same architectures (the untrained STATE uses the same fixed protein-embedding gene table as the trained model; only its other weights are random). Orange: expression-only representations built from the same cells without a model. All use the same 600 cells per cell type, partitions and 5000-gene panel; model and centroid vectors average 50 occurrences or expressing cells per entry, and the landmark and principal-component versions all 300 cells of each half. The dashed line marks z = 3.</w:t>
      </w:r>
    </w:p>
    <w:bookmarkEnd w:id="169"/>
    <w:bookmarkStart w:id="170" w:name="additional-files"/>
    <w:p>
      <w:pPr>
        <w:pStyle w:val="Heading1"/>
      </w:pPr>
      <w:r>
        <w:t xml:space="preserve">Additional files</w:t>
      </w:r>
    </w:p>
    <w:p>
      <w:pPr>
        <w:pStyle w:val="FirstParagraph"/>
      </w:pPr>
      <w:r>
        <w:rPr>
          <w:b/>
          <w:bCs/>
        </w:rPr>
        <w:t xml:space="preserve">Additional file 1</w:t>
      </w:r>
      <w:r>
        <w:t xml:space="preserve"> </w:t>
      </w:r>
      <w:r>
        <w:t xml:space="preserve">(Excel workbook, .xlsx). Full results of the multi-model comparison. Sheets: EXCESS with the main-effect replication for every representation and layer (trained models at two or three layers, untrained models, expression-only representations), with the rank control at each trained model’s depth-matched layer and for the expression-only representations; functional axes with the random, matched co-expression, strong co-expression and tightness nulls, for genes count-balanced in at least 6 and at least 9 cell types, with MaxToki rank as the abundance covariate, and the functional axes and co-expression nulls also with mean log-normalised expression as the covariate (untrained scGPT and STATE: functional axes only); directional congruence and all three curated-target tests, including the untrained models; the comparison of all representations on each model’s own entries and on the shared entries; every steering configuration with both controls (including the 1000-cell MaxToki-217M runs); and every prediction-link run. It also lists two other builds of the centroid version: with all expressing cells instead of 50 (a check on sample size), and the first build with 512 components, which failed the positive control and is not used.</w:t>
      </w:r>
    </w:p>
    <w:bookmarkEnd w:id="170"/>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2026-10-02T23:46:38Z</dcterms:created>
  <dcterms:modified xsi:type="dcterms:W3CDTF">2026-10-02T23:46:38Z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