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p>
    <w:p>
      <w:pPr>
        <w:pStyle w:val="BodyText"/>
      </w:pPr>
      <w:r>
        <w:t xml:space="preserve">[Date]</w:t>
      </w:r>
    </w:p>
    <w:p>
      <w:pPr>
        <w:pStyle w:val="BodyText"/>
      </w:pPr>
      <w:r>
        <w:t xml:space="preserve">The Editor</w:t>
      </w:r>
      <w:r>
        <w:br/>
      </w:r>
      <w:r>
        <w:rPr>
          <w:i/>
          <w:iCs/>
        </w:rPr>
        <w:t xml:space="preserve">Computational Biology and Chemistry</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Computational Biology and Chemistry</w:t>
      </w:r>
      <w:r>
        <w:t xml:space="preserve">.</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Computational Biology and Chemistry</w:t>
      </w:r>
      <w:r>
        <w:t xml:space="preserve">, at the intersection of machine learning and computational biology: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and in the declaration of generative AI use, as Elsevier policy requires. Related work by the author on static gene embeddings, attention, residual-stream geometry, the geometry and topology of hidden states and sparse-autoencoder features is cited in the manuscript (six papers).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is not under consideration at BMC Genomics.]</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2026-10-03T10:38:30Z</dcterms:created>
  <dcterms:modified xsi:type="dcterms:W3CDTF">2026-10-03T10:38:30Z</dcterms:modified>
</cp:coreProperties>
</file>

<file path=docProps/custom.xml><?xml version="1.0" encoding="utf-8"?>
<Properties xmlns="http://schemas.openxmlformats.org/officeDocument/2006/custom-properties" xmlns:vt="http://schemas.openxmlformats.org/officeDocument/2006/docPropsVTypes"/>
</file>